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LA250025 vom 29. September 2025</w:t>
      </w:r>
    </w:p>
    <w:p>
      <w:r>
        <w:t>ZH Obergericht, 2025-09-29, DE</w:t>
      </w:r>
    </w:p>
    <w:p>
      <w:r>
        <w:rPr>
          <w:b/>
        </w:rPr>
        <w:t xml:space="preserve">Quelle: </w:t>
      </w:r>
      <w:r>
        <w:t>https://mcp.opencaselaw.ch/entscheid/zh_obergericht_LA250025</w:t>
      </w:r>
    </w:p>
    <w:p>
      <w:r>
        <w:t>FR: ZH_OBERGERICHT LA250025 du 29 septembre 2025</w:t>
      </w:r>
    </w:p>
    <w:p>
      <w:r>
        <w:t>IT: ZH_OBERGERICHT LA250025 del 29 settembre 2025</w:t>
      </w:r>
    </w:p>
    <w:p>
      <w:pPr>
        <w:pStyle w:val="Heading2"/>
      </w:pPr>
      <w:r>
        <w:t>Erwägungen</w:t>
      </w:r>
    </w:p>
    <w:p>
      <w:r>
        <w:rPr>
          <w:b/>
        </w:rPr>
        <w:t>E. 2</w:t>
      </w:r>
    </w:p>
    <w:p>
      <w:r>
        <w:t>Die Beklagte wird verpflichtet folgenden Entschädigung zu entrichten: - Zahlung aller noch ausstehenden Lohnforderungen bis zum ordent- lichen Ablauf der Kündigungsfrist in der Höhe von CHF 5'040.- (2 x Bruttolohn à 2'520.-) abzüglich aller gesetzlichen Abgaben. - Verpflichtung der Beklagten zur Zahlung einer Entschädigung ge- mäss Art. 337c OR in der Höhe von CHF 15'120.- als Schadener- satz für die unzulässige Kündigung. - Entschädigung in der Höhe von CHF 5'000.- als Genugtuung</w:t>
      </w:r>
    </w:p>
    <w:p>
      <w:r>
        <w:rPr>
          <w:b/>
        </w:rPr>
        <w:t>E. 3</w:t>
      </w:r>
    </w:p>
    <w:p>
      <w:r>
        <w:t>Anpassung der bereits abgeschlossenen Schlusszahlung bezüglich 13. Monatslohn Austritt / Ferienauszahlung / Minuszeit / Kinderzulagen).</w:t>
      </w:r>
    </w:p>
    <w:p>
      <w:r>
        <w:rPr>
          <w:b/>
        </w:rPr>
        <w:t>E. 4</w:t>
      </w:r>
    </w:p>
    <w:p>
      <w:r>
        <w:t>Korrektur des Arbeitszeugnisses mit korrekter Angabe der kündigenden Partei: "Das Arbeitsverhältnis wurde per 31. Oktober 2024 durch die C._____ AG durch eine ordentliche Kündigung aufgelöst".</w:t>
      </w:r>
    </w:p>
    <w:p>
      <w:r>
        <w:rPr>
          <w:b/>
        </w:rPr>
        <w:t>E. 5</w:t>
      </w:r>
    </w:p>
    <w:p>
      <w:r>
        <w:t>(Rechtsmittel: Berufung, Frist: 30 Tage)" 1.2. Dagegen erhob die Klägerin mit Eingabe vom 9. September 2025 fristgerecht (vgl. Art. 311 Abs. 1 ZPO und Urk. 33/1) Berufung mit folgenden Anträgen (Urk. 35 S. 2 f.): "1. Der Entscheid des Bezirksgerichts Pfäffikon ZH (Einzelgericht) vom</w:t>
      </w:r>
    </w:p>
    <w:p>
      <w:r>
        <w:rPr>
          <w:b/>
        </w:rPr>
        <w:t>E. 8</w:t>
      </w:r>
    </w:p>
    <w:p>
      <w:r>
        <w:t>Mai 2025 aufzuheben und die Sache sei zur materiellen Beurteilung an das sachlich zuständige Kollegialgericht des Bezirksgerichts Pfäffi- kon ZH zurückzuweisen. 3. Die Kosten des vorinstanzlichen Verfahrens sowie die Berufungskosten seien der Beklagten aufzuerlegen." 1.3. Die vorinstanzlichen Akten wurden beigezogen (Urk. 1-34). Da sich die Beru- fung – wie nachfolgend aufgezeigt wird – sogleich als offensichtlich unbegründet erweist, kann auf weitere Prozesshandlungen verzichtet werden (vgl. Art. 312 Abs. 1 ZPO). 2.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5A_184/ 2013 vom 26. April 2013 E. 3.1). Die Berufung ist schriftlich und begründet einzureichen (Art. 311 Abs. 1 ZPO). Zu dieser Begrün- dungsanforderung gehört, dass in der Berufungsschrift hinreichend genau aufge- zeigt wird,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w:t>
      </w:r>
    </w:p>
    <w:p>
      <w:r>
        <w:t>- 4 - präziser Verweisungen auf die Akten aufzeigt, wo die massgebenden Behauptun- gen, Erklärungen, Bestreitungen und Einreden erhoben wurden bzw. aus welchen Aktenstellen sich der geltend gemachte Berufungsgrund ergeben soll. Die pau- schale Verweisung auf frühere Vorbringen oder deren blosse Wiederholung genü- gen nicht (vgl. BGE 141 III 569 E. 2.3.3; BGE 138 III 374 E. 4.3.1; BGer 5A_751/2014 vom 28. Mai 2015 E. 2.1). Was nicht oder nicht in einer den gesetzli- 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 BGer 5A_111/2016 vom 6. September 2016 E. 5.3). 3. Die Vorinstanz erwog, dem Rechtsbegehren 1 der Klägerin komme ein Streit- wert zu, da die Klägerin darin die Nichtigkeit begehrt und in der Klagebegründung auch dargelegt habe, weshalb die Kündigung nichtig sei, sodass diese nicht ohne Weiteres in eine "ungerechtfertigte Kündigung" umgedeutet werden könne. Ob für die Bestimmung des Streitwerts gemäss Art. 92 ZPO der zwanzigfache Kapitalwert der jährlichen Lohnsumme massgebend sei oder ob die Fortdauer des Arbeitsver- trags nur bis zur nächstmöglichen ordentlichen Beendigung berücksichtigt werden dürfe (analog zur Rechtsprechung bei mietrechtlichen Sperrfristen), könne vorlie- gend offen bleiben. Unabhängig von der anwendbaren Berechnungsmethode, sei dem Rechtsbegehren 1 ein Streitwert von mindestens einem Bruttomonatslohn, d.h. von Fr. 2'520.–, beizumessen. Damit werde der Streitwert von Fr. 30'000.– be- reits überschritten. Zusätzlich zu diesem Streitwert sei der Streitwert der weiteren Rechtsbegehren zu addieren. Betreffend den Streitwert des Rechtsbegehrens 2 seien sich die Parteien einig. Beide bezifferten Rechtsbegehren 2 mit einem Streit- wert von insgesamt Fr. 25'160.–. Die Klägerin habe den Streitwert ihres Rechtsbe- gehrens 3 auf Fr. 1'713.75 präzisiert, was die Beklagte in ihrer Stellungnahme nicht in Frage gestellt habe, weshalb für Rechtsbegehren 3 ein Streitwert von Fr. 1'713.75 anzunehmen sei. Mit Rechtsbegehren 4 verlange die Klägerin die Kor- rektur des Arbeitszeugnisses und messe diesem Begehren keinen Streitwert bei. Die Beklagte habe den Streitwert auf mindestens Fr. 1'260.– beziffert. Entgegen</w:t>
      </w:r>
    </w:p>
    <w:p>
      <w:r>
        <w:t>- 5 - der Ansicht der Klägerin seien Zeugnisprozesse nach bundesgerichtlicher Recht- sprechung vermögensrechtlicher Natur. Die Einschätzung der Beklagten sei im Lichte der zürcherischer Praxis, wonach der Streitwert eines Arbeitszeugnisses grundsätzlich einem Monatslohn entspreche, nicht zu beanstanden. Dem Rechts- begehren 4 sei deshalb ein Streitwert von Fr. 1'260.– beizumessen. Insgesamt be- trage der Streitwert der vorliegenden Klage damit mindestens Fr. 30'653.75 ([Rechtsbegehren 1 = Fr. 2'520.–] + [Rechtsbegehren 2 = Fr. 25'160.– + [Rechts- begehren 3 = Fr. 1'713.75] + [Rechtsbegehren 4 = Fr. 1'260.–]). Massgebend seien, wie ausgeführt, die Verhältnisse im Zeitpunkt der Klageeinreichung. Spätere Änderungen der Anträge, wie die bedingte Rückzugserklärung des Schadenersatz- begehrens durch die Klägerin, würden für die Festlegung des ursprünglich mass- gebenden Streitwerts nicht berücksichtigt und beeinflussten die einmal begründete sachliche Zuständigkeit nicht (Urk. 36 S. 8 f.). Abschliessend erwog die Vorinstanz, die Klägerin habe die Klage ausdrücklich im vereinfachten Verfahren erhoben (unter Verweis auf die Kostenlosigkeit des Ver- fahrens nach Art. 113 ZPO [recte: Art. 114 lit. c ZPO]; vgl. Rechtsbegehren 5). Die Klage sei demnach absichtlich und nicht – wie in Art. 143 Abs. 1bis ZPO vorgesehen – irrtümlich vor dem Einzelgericht anhängig gemacht worden. Eine Weiterleitung der Klage i.S.v. Art. 143 Abs. 1bis ZPO an das zuständige Kollegialgericht sei nicht vorzunehmen. Auf die Klage sei daher mangels sachlicher Zuständigkeit nicht ein- zutreten (Urk. 26 S. 9). 4. Die dagegen von der Klägerin erhobene Berufung genügt den obigen Anfor- derungen (vgl. E. 2) nicht. Sie bringt pauschal vor, die Klage sei beim örtlich und sachlich richtigen Gericht eingereicht und durch die Vorinstanz selbst an den Ein- zelrichter überwiesen worden. Sie und ihr Vertreter hätten keine juristische Ausbil- dung und daher den Streitwert nicht präzise berechnen können. Eine unterstellte absichtliche Einreichung beim Einzelgericht sei unbegründet und willkürlich. Die ZPO schütze in Art. 143 Abs. 1bis auch irrtümlich beim unzuständigen Spruchkörper eingereichte Klagen, sofern sie beim richtigen Gericht eingingen, was hier der Fall sei. Die Ablehnung der Weiterleitung der Klage an das Kollegialgericht unter Beru- fung auf die vermeintliche "Absicht" der Klageeinreichung erscheine willkürlich, for-</w:t>
      </w:r>
    </w:p>
    <w:p>
      <w:r>
        <w:t>- 6 - malistisch und unverhältnismässig. Würde dieses Vorgehen gebilligt, bestünde die Gefahr, dass Arbeitgeber durch die Konstruktion mehrerer angeblicher Pflichtver- letzungen den Streitwert künstlich über die Grenze von Fr. 30'000.– erhöhen könn- ten, was mittellosen Arbeitnehmern faktisch den Zugang zur Justiz verwehren und damit den gesetzgeberischen Schutzzweck unterlaufen würde (Urk. 35 S. 3). Die Klägerin setzt sich mit keinem Wort mit der von der Vorinstanz konkret vorgenom- menen Streitwertberechnung auseinander. Ebenso wenig äussert sie sich zur Er- wägung der Vorinstanz, dass sie in ihren Rechtsbegehren 5 explizit auf die Kosten- losigkeit des Verfahrens hingewiesen habe, weswegen nicht von einer irrtümlich falsch eingereichten Klage ausgegangen werden könne. Die Klägerin gibt einzig den Inhalt von Art. 143 Abs. 1bis ZPO wieder und führt aus, die Ablehnung der Wei- terleitung der Klage an das Kollegialgericht unter Berufung auf die vermeintliche "Absicht" der Klageeinreichung erscheine willkürlich, formalistisch und unverhält- nismässig. Sie legt aber nicht dar, inwiefern ihr Rechtsbegehren 5 betreffend die Kostenlosigkeit des Verfahrens von der Vorinstanz falsch interpretiert worden sei. Angesichts des Umstandes, dass die Klägerin in ihrer Stellungnahme vom 27. Ja- nuar 2025 explizit von einem Streitwert ihrer Klage von unter Fr. 30'000.– ausging (Urk. 11 S. 2 f.), ist solches im Übrigen auch nicht ersichtlich. Die Vorinstanz ging somit zu Recht davon aus, dass die Klägerin ihre Klage mit Absicht und nicht irr- tümlich beim Einzelgericht eingereicht hatte. Auch aus der Rechtsunkenntnis der Klägerin und ihres Vertreters kann sie nichts zu ihren Gunsten ableiten. Der Kläge- rin wäre es freigestanden, sich durch einen rechtskundigen Anwalt vertreten zu las- sen. Ebenso geht ihr Vorbringen, dass mittellosen Arbeitnehmern der Zugang zur Justiz verwehrt würde, wenn die Arbeitgeber den Streitwert künstlich in die Höhe treiben könnten, an der Sache vorbei. Die klagende Partei hat die Möglichkeit, le- diglich eine Teilklage zu erheben. Dies ermöglicht in arbeitsrechtlichen Verfahren – sofern lediglich ein Streitwert von Fr. 30'000.– eingeklagt wird – die Gerichtskos- ten gänzlich einzusparen. Ferner kann das Verfahren beschleunigt und vereinfacht werden, weil der Prozess nach Art. 243 Abs. 1 ZPO bei Streitwerten bis zu Fr. 30'000.– im vereinfachten Verfahren geführt wird (BGer 4A_307/2021 vom 23. Juni 2022 E. 2.2.3). Der Schutzzweck wird – entgegen der Ansicht der Klägerin</w:t>
      </w:r>
    </w:p>
    <w:p>
      <w:r>
        <w:t>- 7 - – somit nicht unterlaufen. Nach dem Gesagten ist auf die Berufung nicht einzutre- ten. 5. Vor diesem Hintergrund und da keine Gerichtskosten erhoben werden (vgl. E. 6.1) rechtfertigt es sich, auf eine Nachfristansetzung nach Art. 132 Abs. 1 ZPO wegen fehlender Unterschrift bzw. nicht gültig signierter Berufungsschrift und feh- lender Vollmacht (vgl. Urk. 3: Bevollmächtigung nur für Friedensrichteramt D._____ und das Bezirksgericht Pfäffikon) zu verzichten. 6.1 Da der Streitwert der Klage – wie die Vorinstanz zutreffend erwog – Fr. 30'000.– überschreitet, kann die Klägerin grundsätzlich nicht mehr von der Kos- tenlosigkeit des Verfahrens profitieren (vgl. Art. 114 lit. c ZPO). Umständehalber ist jedoch auch im Berufungsverfahren auf die Erhebung von Gerichtskosten zu ver- zichten, zumal die Klägerin auch ein kostenloses Verfahren vor Arbeitsgericht an- strebte. Entsprechend kann offengelassen werden, ob die Klägerin mit ihrer Aus- führung, sie sei mittellos, sinngemäss ein Gesuch um Gewährung der unentgeltli- chen Prozessführung stellen wollte. Dieses Gesuch wäre mangels Erhebung von Gerichtskosten ohnehin als gegenstandslos geworden abzuschreiben bzw. auf- grund der Aussichtslosigkeit ihrer Berufung abzuweisen gewesen. 6.2 Die Kostenfreiheit gemäss Art. 114 ZPO bezieht sich nur auf die Gerichts- kosten. Die Zusprechung von Parteientschädigungen erfolgt nach den allgemeinen Regeln (Art. 105 ff. ZPO; BK ZPO-Sterchi, Art. 113-114 N 5). Es sind jedoch auch keine Parteientschädigungen zuzusprechen, der Klägerin zufolge ihres Unterlie- gens und der Beklagten mangels relevanter Aufwendungen (Art. 106 Abs. 1, Art. 95 Abs. 3 ZPO).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