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LA240007 vom 12. Februar 2025</w:t>
      </w:r>
    </w:p>
    <w:p>
      <w:r>
        <w:t>ZH Obergericht, 2025-02-12, DE</w:t>
      </w:r>
    </w:p>
    <w:p>
      <w:r>
        <w:rPr>
          <w:b/>
        </w:rPr>
        <w:t xml:space="preserve">Quelle: </w:t>
      </w:r>
      <w:r>
        <w:t>https://mcp.opencaselaw.ch/entscheid/zh_obergericht_LA240007</w:t>
      </w:r>
    </w:p>
    <w:p>
      <w:r>
        <w:t>FR: ZH_OBERGERICHT LA240007 du 12 février 2025</w:t>
      </w:r>
    </w:p>
    <w:p>
      <w:r>
        <w:t>IT: ZH_OBERGERICHT LA240007 del 12 febbraio 2025</w:t>
      </w:r>
    </w:p>
    <w:p>
      <w:pPr>
        <w:pStyle w:val="Heading2"/>
      </w:pPr>
      <w:r>
        <w:t>Erwägungen</w:t>
      </w:r>
    </w:p>
    <w:p>
      <w:r>
        <w:rPr>
          <w:b/>
        </w:rPr>
        <w:t>E. 1</w:t>
      </w:r>
    </w:p>
    <w:p>
      <w:r>
        <w:t>Die Berufung richtet sich gegen einen erstinstanzlichen Endentscheid im Sinne von Art. 308 Abs. 1 lit. a ZPO in einer vermögensrechtlichen Angelegenheit, deren Streitwert Fr. 10'000.– übersteigt (Art. 308 Abs. 2 ZPO) und die nicht unter einen Ausnahmetatbestand gemäss Art. 309 ZPO fällt. Sie wurde form- und frist- gerecht bei der zuständigen kantonalen Berufungsinstanz (vgl. § 48 GOG) erho- ben (Art. 311 Abs. 1 ZPO; Urk. 22). Der vor Vorinstanz unterlegene und damit be- schwerte Kläger ist zur Berufungserhebung legitimiert. Die Rechtsmittelvorausset- zungen sind erfüllt. Auf die Berufung ist unter dem Vorbehalt hinreichender Be- gründung (nachstehend E. II.2) einzutreten.</w:t>
      </w:r>
    </w:p>
    <w:p>
      <w:r>
        <w:rPr>
          <w:b/>
        </w:rPr>
        <w:t>E. 2</w:t>
      </w:r>
    </w:p>
    <w:p>
      <w:r>
        <w:t>Die Kostenfreiheit gemäss Art. 114 ZPO bezieht sich nur auf die Gerichts- kosten. Die Zusprechung von Parteientschädigungen erfolgt nach den allgemeinen Regeln (Art. 105 ff. ZPO; BK ZPO-Sterchi, Art. 113-114 N 5).</w:t>
      </w:r>
    </w:p>
    <w:p>
      <w:r>
        <w:rPr>
          <w:b/>
        </w:rPr>
        <w:t>E. 3</w:t>
      </w:r>
    </w:p>
    <w:p>
      <w:r>
        <w:t>Der Kläger wird verpflichtet, der Beklagten für das zweitinstanzliche Verfah- ren eine Parteientschädigung von Fr. 3'333.– zu bezahlen.</w:t>
      </w:r>
    </w:p>
    <w:p>
      <w:r>
        <w:rPr>
          <w:b/>
        </w:rPr>
        <w:t>E. 4</w:t>
      </w:r>
    </w:p>
    <w:p>
      <w:r>
        <w:t>Schriftliche Mitteilung an die Parteien sowie an die Vorinstanz, je gegen Empfangsschein. Nach unbenutzten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30'000.–. Die Beschwerde an das Bundesgericht hat keine aufschiebende Wirkung. Hinsichtlich des Fristenlaufs gelten die Art. 44 ff. BGG.</w:t>
      </w:r>
    </w:p>
    <w:p>
      <w:r>
        <w:t>- 19 - Zürich, 12. Februar 2025 Obergericht des Kantons Zürich I. Zivilkammer Der Vorsitzende: Die Gerichtsschreiberin: lic. iur. A. Huizinga lic. iur. N. Wolf-Gerber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