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LA230025 vom 25. April 2024</w:t>
      </w:r>
    </w:p>
    <w:p>
      <w:r>
        <w:t>ZH Obergericht, 2024-04-25, DE</w:t>
      </w:r>
    </w:p>
    <w:p>
      <w:r>
        <w:rPr>
          <w:b/>
        </w:rPr>
        <w:t xml:space="preserve">Quelle: </w:t>
      </w:r>
      <w:r>
        <w:t>https://mcp.opencaselaw.ch/entscheid/zh_obergericht_LA230025</w:t>
      </w:r>
    </w:p>
    <w:p>
      <w:r>
        <w:t>FR: ZH_OBERGERICHT LA230025 du 25 avril 2024</w:t>
      </w:r>
    </w:p>
    <w:p>
      <w:r>
        <w:t>IT: ZH_OBERGERICHT LA230025 del 25 aprile 2024</w:t>
      </w:r>
    </w:p>
    <w:p>
      <w:pPr>
        <w:pStyle w:val="Heading2"/>
      </w:pPr>
      <w:r>
        <w:t>Erwägungen</w:t>
      </w:r>
    </w:p>
    <w:p>
      <w:r>
        <w:rPr>
          <w:b/>
        </w:rPr>
        <w:t>E. 1</w:t>
      </w:r>
    </w:p>
    <w:p>
      <w:r>
        <w:t>Die Klägerin bezweckt gemäss Handelsregistereintrag die Erbringung von Dienstleistungen in den Bereichen …. Sie verfügt über Bewilligungen zur privaten Arbeitsvermittlung, privaten Auslandsvermittlung und zum Personenverleih für die Branchen oder Berufe … (Urk. 38 S. 3; Urk. 5/6-8). Der Beklagte war ab dem 15. April 2021 bei der Klägerin als Senior Consul- tant/Teamleader im Geschäftsbereich IT-Recruiting angestellt. Die Parteien ver- einbarten u.a. ein monatliches Bruttoeinkommen von Fr. 6'500.– (zwölfmal jährlich ausbezahlt), eine widerrufbare Spesenpauschale von Fr. 500.– sowie ein Konkur- renzverbot (Urk. 5/2). Mit Schreiben vom 28. Februar 2022 kündigte der Beklagte den Arbeitsver- trag unter Einhaltung der ordentlichen Kündigungsfrist auf den 31. März 2022 (Urk. 5/12). Ab April 2022 war er für die C._____ Group tätig (Urk. 5/9; Urk. 38 S. 4). Die Klägerin macht im vorliegenden Verfahren gegenüber dem Beklagten eine Konventionalstrafe in der Höhe von Fr. 20'000.– wegen Verletzung des Kon- kurrenzverbotes und Fr. 28'669.75 Schadenersatz im Zusammenhang mit der Neubesetzung der Arbeitsstellen des Beklagten und derjenigen von D._____ gel- tend, welchen der Beklagte abgeworben haben soll. Die Vorinstanz verneinte eine</w:t>
      </w:r>
    </w:p>
    <w:p>
      <w:r>
        <w:t>- 4 - Verletzung des Konkurrenzverbots und eine Schadenersatzpflicht u.a. wegen mangelhafter Substantiierung und wies die Klage mit Urteil vom 22. August 2023 ab.</w:t>
      </w:r>
    </w:p>
    <w:p>
      <w:r>
        <w:rPr>
          <w:b/>
        </w:rPr>
        <w:t>E. 2</w:t>
      </w:r>
    </w:p>
    <w:p>
      <w:r>
        <w:t>Die zweitinstanzliche Entscheidgebühr wird auf Fr. 5'445.– festgesetzt.</w:t>
      </w:r>
    </w:p>
    <w:p>
      <w:r>
        <w:rPr>
          <w:b/>
        </w:rPr>
        <w:t>E. 3</w:t>
      </w:r>
    </w:p>
    <w:p>
      <w:r>
        <w:t>Die Gerichtskosten für das zweitinstanzliche Verfahren werden der Klägerin auferlegt und mit ihrem Kostenvorschuss verrechnet.</w:t>
      </w:r>
    </w:p>
    <w:p>
      <w:r>
        <w:rPr>
          <w:b/>
        </w:rPr>
        <w:t>E. 4</w:t>
      </w:r>
    </w:p>
    <w:p>
      <w:r>
        <w:t>Die Klägerin wird verpflichtet, dem Beklagten für das zweitinstanzliche Ver- fahren eine Parteientschädigung von Fr. 3'800.– zu bezahlen.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48'669.75. Die Beschwerde an das Bundesgericht hat keine aufschiebende Wirkung. Hinsichtlich des Fristenlaufs gelten die Art. 44 ff. BGG.</w:t>
      </w:r>
    </w:p>
    <w:p>
      <w:r>
        <w:t>- 24 - Zürich, 25. April 2024 Obergericht des Kantons Zürich I. Zivilkammer Der Vorsitzende: Der Gerichtsschreiber: lic. iur A. Huizinga Dr. J. Trachsel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