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LA220011 vom 6. Februar 2023</w:t>
      </w:r>
    </w:p>
    <w:p>
      <w:r>
        <w:t>ZH Obergericht, 2023-02-06, DE</w:t>
      </w:r>
    </w:p>
    <w:p>
      <w:r>
        <w:rPr>
          <w:b/>
        </w:rPr>
        <w:t xml:space="preserve">Quelle: </w:t>
      </w:r>
      <w:r>
        <w:t>https://mcp.opencaselaw.ch/entscheid/zh_obergericht_LA220011</w:t>
      </w:r>
    </w:p>
    <w:p>
      <w:r>
        <w:t>FR: ZH_OBERGERICHT LA220011 du 6 février 2023</w:t>
      </w:r>
    </w:p>
    <w:p>
      <w:r>
        <w:t>IT: ZH_OBERGERICHT LA220011 del 6 febbraio 2023</w:t>
      </w:r>
    </w:p>
    <w:p>
      <w:pPr>
        <w:pStyle w:val="Heading2"/>
      </w:pPr>
      <w:r>
        <w:t>Erwägungen</w:t>
      </w:r>
    </w:p>
    <w:p>
      <w:r>
        <w:rPr>
          <w:b/>
        </w:rPr>
        <w:t>E. 1</w:t>
      </w:r>
    </w:p>
    <w:p>
      <w:r>
        <w:t>Die Beklagte (Berufungsklägerin) ist eine C._____ domizilierte Aktien- gesellschaft. Sie bezweckt gemäss Handelsregistereintrag die … (Urk. 5/4). Am 7. August 2020 schloss sie mit der Klägerin (Berufungsbeklagte) einen unbefristeten Arbeitsvertrag mit Vertragsbeginn per 8. September 2020 ab (Urk. 5/3). Darin vereinbarten die Parteien eine Vollzeitanstellung der Klägerin als Event- Koordinatorin im D._____ in Zürich zu einem monatlichen Bruttolohn von Fr. 5'633.33 (Festlohn in der Höhe von Fr. 5'200.– zuzüglich monatlicher Anteil am 13. Monatslohn in der Höhe von Fr. 433.33) sowie eine Kündigungsfrist von zwei Monaten (nach Beendigung der zweimonatigen Probezeit). Am 22. Dezem- ber 2020 schloss die Beklagte aufgrund von Art. 5a der Verordnung über Mass- nahmen in der besonderen Lage zur Bekämpfung der Covid-19-Epidemie (Covid- 19-Verordnung besondere Lage vom 19. Juni 2020, Änderung vom 18. Dezember 2020 [Massnahmenverschärfung Dezember]; AS 2020 S. 5813 [im Folgenden: Covid-19-VO]) ihren Restaurationsbetrieb im D._____. Ab diesem Zeitpunkt konn- te sie der Klägerin deshalb keine Arbeit mehr zuweisen (Urk. 1 Ziff. 13; Urk. 11 Ziff. 10). Mit Schreiben vom 23. Dezember 2020 kündigte die Klägerin das Arbeits- verhältnis ordentlich per 28. Februar 2021 (Urk. 5/5). In der Folge zahlte die Be- klagte ihr den Lohn bis Ende Dezember 2020 aus (Urk. 1 Ziff. 15; Urk. 11 Ziff. 12).</w:t>
      </w:r>
    </w:p>
    <w:p>
      <w:r>
        <w:t>- 4 - Bezüglich weiterer Lohnforderungen teilte die Beklage der Klägerin mit Schreiben vom 2. Februar 2021 im Wesentlichen mit, dass sie ihr für die Monate Januar und Februar 2021 keinen Lohn bezahlen könne, da die Klägerin während der Kündi- gungsfrist nicht mehr kurzarbeitsberechtigt sei und aufgrund des Lockdowns auch nicht arbeiten könne; es gelte der Grundsatz "ohne Arbeit kein Lohn" (Urk. 5/6). Daraufhin teilte die Klägerin der Beklagten mit Schreiben vom 10. Februar 2021 mit, dass sie jederzeit bereit gewesen wäre, die Arbeit oder allfällige andere Ar- beiten zu verrichten. Da die Arbeitgeberin das Betriebsrisiko zu tragen habe, for- dere sie die Auszahlung des ausstehenden Lohns für den Monat Januar 2021, und sie stehe für eine einvernehmliche Lösung bezüglich des Lohns für den Mo- nat Februar 2021 zur Verfügung (Urk. 5/7). Mit E-Mail vom 11. Februar 2021 er- klärte die Beklagte der Klägerin alsdann, an ihrer bereits geäusserten Auffassung festzuhalten und keine Zahlungen zu leisten, für die es ihrer Ansicht nach keine rechtliche Grundlage gebe (Urk. 5/8). Am 24. Februar 2021 forderte die Klägerin die Beklagte schriftlich auf, ihr den ausstehenden (Netto-)Lohn für die Monate Ja- nuar und Februar 2021 im Betrag von insgesamt Fr. 8'506.70 zuzüglich 5 % Zins seit 1. Februar 2021 zu bezahlen (Urk. 5/9).</w:t>
      </w:r>
    </w:p>
    <w:p>
      <w:r>
        <w:rPr>
          <w:b/>
        </w:rPr>
        <w:t>E. 2</w:t>
      </w:r>
    </w:p>
    <w:p>
      <w:r>
        <w:t>Mit Eingabe vom 28. September 2021 und unter Einreichung der Kla- gebewilligung des Friedensrichteramts der Stadt Zürich, Kreise … + …, vom 23. Juni 2021 (Urk. 3) machte die Klägerin beim Arbeitsgericht Zürich (Vorinstanz) gegen die Beklagte eine Forderungsklage mit dem vorstehend wiedergegebenen Rechtsbegehren anhängig (Urk. 1). Damit verlangt sie von dieser den (Brutto-) Lohn für die Monate Januar und Februar 2021 (einschliesslich Anteil 13. Monats- lohn). Nach Eingang der schriftlichen Stellungnahme zur Klage vom 28. Oktober 2021 (Urk. 11) fand am 25. Januar 2022 die mündliche Hauptverhandlung statt, in der die Parteien ihre Parteivorträge erstatteten (Prot. I S. 4 ff.; Urk. 17). Die im Anschluss daran geführten Vergleichsgespräche scheiterten (vgl. Prot. I S. 12). Am 14. Februar 2022 fällte die Vorinstanz ihr Urteil, mit dem die Beklagte ver- pflichtet wurde, der Klägerin für die Monate Januar und Februar 2021 je Fr. 4'707.05 netto nebst 5 % Zins seit 7. Februar bzw. 1. März 2021 zu bezahlen; im Mehrbetrag (Zinsforderung) wurde die Klage abgewiesen, unter Entschädigungs- folge zu Lasten der Beklagten (Urk. 20 = Urk. 23, insbes. S. 24).</w:t>
      </w:r>
    </w:p>
    <w:p>
      <w:r>
        <w:t>- 5 -</w:t>
      </w:r>
    </w:p>
    <w:p>
      <w:r>
        <w:rPr>
          <w:b/>
        </w:rPr>
        <w:t>E. 3</w:t>
      </w:r>
    </w:p>
    <w:p>
      <w:r>
        <w:t>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 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der genannten Mängel leidet. Das gilt auch dann, wenn das Ver- fahren (wie vorliegend) dem (hier eingeschränkten) Untersuchungsgrundsatz un- terliegt (vgl. Art. 247 Abs. 2 lit. b Ziff. 2 ZPO und nachstehend, E. II.4), und setzt (im Sinne einer Eintretensvoraussetzung) voraus, dass der Berufungskläger die vorinstanzlichen Erwägungen bezeichnet, die er anficht, sich inhaltlich mit diesen auseinandersetzt und mittels präziser Verweisungen auf die Akten aufzeigt, wo die massgebenden Behauptungen, Erklärungen, Bestreitungen und Einreden er- hoben wurden bzw. aus welchen konkreten Aktenstellen sich der geltend ge- machte Berufungsgrund ergeben soll (vgl. BGE 138 III 374 E. 4.3.1 S. 375 f.; BGE 141 III 569 E. 2.3.3 S. 576 f.; BGer 5A_751/2014 vom 28. Mai 2015, E. 2.1; BGer 5A_635/2015 vom 21. Juni 2016, E. 5.2; CHK-Sutter-Somm/Seiler, ZPO 311 N 8 ff.; Hungerbühler/Bucher, DIKE-Komm-ZPO, Art. 311 N 36 ff.; ZK ZPO- Reetz/Theiler, Art. 311 N 36). Pauschale Verweisungen auf frühere oder andere Rechtsschriften und Vorbringen, deren blosse Wiederholung oder eine neuerliche Darstellung der Sach- oder Rechtslage, welche nicht darauf eingeht, was vor der Vorinstanz vorgebracht und von dieser erwogen wurde, genügen den gesetzli- chen Begründungsanforderungen nicht und sind deshalb unbeachtlich. Diese formellen Begründungsanforderungen gelten sinngemäss auch für die Berufungs-</w:t>
      </w:r>
    </w:p>
    <w:p>
      <w:r>
        <w:t>- 7 - antwort, soweit darin ebenfalls Kritik am angefochtenen Entscheid erhoben wer- den soll (BGer 4A_580/2015 vom 11. April 2016, E. 2.2; BGer 4A_496/2016 vom</w:t>
      </w:r>
    </w:p>
    <w:p>
      <w:r>
        <w:rPr>
          <w:b/>
        </w:rPr>
        <w:t>E. 8</w:t>
      </w:r>
    </w:p>
    <w:p>
      <w:r>
        <w:t>September 2020 unbefristet als Event-Koordinatorin an. Sie tat dies wenige Monate nachdem die Restaurationsbetriebe nach mehrwöchiger, behördlich an- geordneter Schliessung wieder geöffnet werden durften und in einem Zeitpunkt, in dem die Covid-19-Pandemie keineswegs als überwunden galt. Gegenteils herrschte zu dieser Zeit nach wie vor die "besondere Lage" gemäss Art. 6 EpG und galten verschiedene Schutzmassnahmen (z.B. Maskenpflicht im öffentlichen Verkehr, Pflicht zur Umsetzung von Schutzkonzepten in Schulen und öffentlich zugänglichen Einrichtungen und Betrieben, Verbot von Grossveranstaltungen; vgl. Art. 3a ff. Covid-19-VO in der damals geltenden Fassung vom 2. Juli 2020 [AS 2020 S. 2213 und S. 2735]). Auch wurden vor allem auf den bevorstehenden Winter hin weitere Infektionswellen erwartet und war aufgrund der früheren Ereig- nisse und Erfahrungen (erster Lockdown vom 17. März bis 11. Mai 2020) die Be- fürchtung allgegenwärtig, es könnten abermals weitergehende behördliche Mass- nahmen zur Eindämmung der Pandemie verfügt, insbesondere erneut Anlässe mit einer grösseren Teilnehmerzahl (wie Bankette und ähnliche Events) verboten oder die Schliessung von Restaurationsbetrieben angeordnet werden. Es war zwar nicht unbedingt zu erwarten, lag aber durchaus im Bereich des Möglichen und war – im Unterschied zur Situation vor dem ersten Lockdown und entgegen der beklagtischen Darstellung (Urk. 22 S. 17 Ziff. 11, S. 19 Ziff. 15) – alles andere als unvorhersehbar, dass die vertraglich vereinbarte Arbeitsleistung der Klägerin aufgrund behördlicher Massnahmen allenfalls nicht würde erbracht werden kön- nen. Ungeachtet dieser auch den Vertragsparteien bekannten Unsicherheiten verzichtete die Beklagte in Ausübung ihrer unternehmerischen Entscheidungsfrei- heit (und ohne Einbindung der Klägerin in die Entscheidfindung) darauf, Anpas- sungen an ihrem Betriebskonzept, das nach eigenen Angaben auf einem gepfleg- ten Mittag- und Abendservice sowie in allererster Linie auf dem Bankett- und</w:t>
      </w:r>
    </w:p>
    <w:p>
      <w:r>
        <w:t>- 18 - Eventbereich beruht (vgl. Urk. 11 Ziff. 16; Prot. I S. 8 f.), ins Auge zu fassen, allfäl- lige alternative Einsatzmöglichkeiten für die Klägerin vorzubereiten (welche die Klägerin gemäss Vertrag hätte annehmen müssen; vgl. Urk. 5/3 Ziff. 1.b) oder an- dere Vorkehrungen zu treffen. Stattdessen vertraute sie offenbar darauf, dass er- neute behördliche Einschränkungen ausbleiben und die Events, zu deren Koordi- nation die Klägerin angestellt wurde, weiterhin ungehindert durchgeführt werden können. Unter diesen Umständen verwirklichte sich mit dem erneuten (und nach den viel weitergehenden behördlichen Einschränkungen im Frühjahr 2020 keineswegs beispiellosen; vgl. Urk. 22 S. 15 Ziff. 7) Verbot des Betriebs von Restaurationsbe- trieben (Art. 5a Abs. 1 Covid-19-VO) und dem daraus resultierenden Wegfall der Events (wie Bankette) ein durchaus vorhersehbares, von der Beklagten als Gast- ronomieunternehmung zu tragendes Betriebsrisiko. Diese Zuordnung rechtfertigt sich auch unter dem Gesichtspunkt, dass die Zwangsschliessung – anders als der erste Lockdown (vgl. Art. 5 f. der Verordnung 2 über Massnahmen zur Bekämp- fung des Coronavirus [COVID 19] [COVID-19-Verordnung 2] in der Fassung vom 16. März 2020; AS 2020 S. 773 und S. 783) – nicht mehr den grössten Teil aller nicht der Grundversorgung dienenden öffentlich zugänglichen Einrichtungen be- traf, sondern auf jene (wenigen) Branchen und Betriebe beschränkt war, von de- ren Art eine besondere, ihnen immanente Infektionsgefahr ausgeht (Restaurati- ons-, Bar- und Clubbetriebe sowie Tanzlokale und Diskotheken). Der Hinde- rungsgrund ist, wie die Klägerin zutreffend bemerkt (Urk. 30 Ziff. 48), wertungs- mässig mit einem staatlichen Herstellungsverbot oder dem Entzug einer Betriebs- bewilligung vergleichbar, welche einhellig unter die "anderen Gründe" im Sinne von Art. 324 Abs. 1 OR subsumiert werden (BSK OR I-Portmann/Rudolph, Art. 324 N 4; BK-Rehbinder/Stöckli, Art. 324 OR N 39; von Zedtzwitz/Keller, Stämpflis Handkommentar, Arbeitsvertrag, OR 324 N 11; ZK-Staehelin, OR 324 N 12; Brühwiler, Einzelarbeitsvertrag, Kommentar, 3. Aufl. 2014, Art. 324 N 2; Vi- scher/Müller, Der Arbeitsvertrag, 4. Aufl. 2014, § 11 Rz 2; CHK-Emmel, OR 324 N 1; Portmann/Wildhaber, Schweizerisches Arbeitsrecht, 4. Aufl. 2020, Rz 305; vgl. auch Longchamp, Stämpflis Handkommentar, Commentaire du contrat de travail, OR 324 N 6, wonach "les décisions d’autorité reposant sur des raisons de police,</w:t>
      </w:r>
    </w:p>
    <w:p>
      <w:r>
        <w:t>- 19 - de sécurité ou d’intérêt général" zum Betriebsrisiko gehören). Ein Arbeitgeber, der unter den im August 2020 gegebenen äusseren Umständen eine Arbeitskraft im Rahmen eines Vollzeitpensums ausschliesslich als Event- und Bankett- Koordinatorin einstellte (Urk. 5/3), kann daher das damals absehbare Risiko eines erneuten (faktischen) Event- und Bankettverbots nicht von sich auf die Arbeits- kraft abwälzen. Daran ändert auch die Tatsache nichts, dass das ebenfalls auf einer unter- nehmerischen Entscheidung beruhende Geschäftsmodell des D._____ in erster Linie auf den Event- und Bankettbereich ausgerichtet ist (vgl. Urk. 22 S. 17 Ziff. 12), was seine Anpassung erschwert haben dürfte. Die Folgen dieses Risikos sind angesichts der Kündigungsfreiheit (Urk. 5/3 Ziff. 4), welche auf Seiten der Beklagten während des Lockdowns weiterbestand (vgl. Müller, a.a.O., S. 69), auch nicht als derart schwerwiegend einzustufen, dass dessen Zurechnung zur Risikosphäre der Beklagten wertungsmässig unvertretbar oder auch nur unbillig erschiene. Gegenteils widerspräche gerade im vorliegenden Fall bzw. in Anbe- tracht der geschilderten Umstände eine Überwälzung auf die Klägerin den vorste- hend skizzierten, aus dem Wesen des Arbeitsvertrags fliessenden Grundsätzen. Durch die (zweite) behördliche Betriebsschliessung vom 22. Dezember 2020 und die damit verbundene Arbeitsverhinderung der Klägerin geriet die Beklagte somit in Annahmeverzug im Sinne von Art. 324 OR mit den dort statuierten Rechtsfol- gen. 4.4. Ohne Relevanz und insbesondere kein "[w]esentliches Element des Sachverhaltes" ist demgegenüber der Umstand, dass es die Klägerin war, die mit ihrer Kündigung die Ursache für den Wegfall der Kurzarbeitsentschädigung setzte (vgl. Urk. 22 S. 4 Ziff. 2, S. 13 f. Ziff. 6, S. 16 Ziff. 10 [und S. 6 Ziff. 10]; Art. 31 Abs. 1 lit. c AVIG), und ob sie darum gewusst habe (Urk. 22 S. 17 Ziff. 11 [und S. 6 Ziff. 10]). So stand während des Lockdowns auch der Klägerin unverändert das Recht zu, den Vertrag ordentlich zu kündigen. Die Ausübung dieses Rechts kann nicht zu einer Verlagerung bzw. Abwälzung des aus den vorstehend ge- nannten Gründen von der Beklagten zu tragenden Betriebsrisikos auf die Klägerin führen. Andernfalls würde deren vertraglich vereinbarte Kündigungsfreiheit (mit-</w:t>
      </w:r>
    </w:p>
    <w:p>
      <w:r>
        <w:t>- 20 - telbar) in sachlich nicht gerechtfertigter Weise eingeschränkt und im Ergebnis – wie bei einer gesetzwidrig vereinbarten Lohnreduktion während der Kündigungs- frist bei Kündigung durch den Arbeitnehmer – die materielle Kündigungsparität verletzt (vgl. dazu BSK OR I-Portmann/Rudolph, Art. 335a N 4 ff.; Facin- cani/Bazzell, Stämpflis Handkommentar, Arbeitsvertrag, OR 335a N 10 f.; CHK- Emmel, OR 335a N 2; ZK-Staehelin, OR 335a N 4). Überdies lässt das (Nicht-)Erfülltsein von Anspruchsvoraussetzungen der Kurzarbeitsentschädigung grundsätzlich ohnehin keine direkten Rückschlüsse auf die Lohnfortzahlungspflicht des Arbeitgebers zu. Denn für die (privatrechtlichen) Rechte und Pflichten von Arbeitnehmenden und Arbeitgebenden sind die dem Sozialversicherungsrecht zugrunde liegenden Wertungsmassstäbe grundsätzlich nicht massgeblich. Sie verfolgen andere (nämlich öffentlich-rechtliche) Zwecke als das auf den Interessenausgleich zwischen den Vertragsparteien gerichtete Privat- recht (Flück, a.a.O., S. 49). Aus sozialversicherungsrechtlicher Sicht soll mit der Kurzarbeitsentschädigung die Lohnfortzahlungspflicht des Arbeitgebers auf die Arbeitslosenversicherung abgewälzt und nicht direkt der Lohnausfall des Arbeit- nehmers übernommen werden (Flück, a.a.O., S. 52 f. m.w.Hinw.; anders offenbar Streiff/von Kaenel/Rudolph, a.a.O., Art. 324 N 7 S. 387). Mithin übernimmt letztere mit der Kurzarbeitsentschädigung (unter den einschränkenden Voraussetzungen des AVIG) das Lohnrisiko des Arbeitgebers für bestimmte Arbeitsausfälle (Flück, a.a.O., S. 48; Müller, a.a.O., S. 40; vgl. auch Vischer/Müller, a.a.O., § 11 Rz 19; Pärli, Corona-Verordnungen des Bundesrates zur Arbeitslosenversicherung und zum Erwerbsausfall, SZS 2020, S. 125). Im arbeitsrechtlichen Verhältnis zwi- schen der Beklagten und der Klägerin (Art. 324 OR) spielt es deshalb keine Rolle, ob ein Anspruch auf Kurzarbeitsentschädigung bestünde und wer gegebenenfalls dessen Wegfall zu vertreten resp. verursacht hat. Das erhellt auch aus Art. 33 Abs. 1 lit. d AVIG. Danach setzt der Anspruch auf Kurzarbeitsentschädigung das Einverständnis des Arbeitnehmers mit der An- ordnung von Kurzarbeit voraus. Stimmt der Arbeitnehmer nicht zu (und vereitelt er mit seinem Handeln somit die Kurzarbeitsentschädigung), behält er den Anspruch auf vollen Lohn, sofern die Voraussetzungen von Art. 324 OR erfüllt sind (vgl.</w:t>
      </w:r>
    </w:p>
    <w:p>
      <w:r>
        <w:t>- 21 - Art. 33 Abs. 1 lit. d AVIG: "... und deshalb nach Arbeitsvertrag entlöhnt werden muss"; Flück, a.a.O., S. 41; Müller, a.a.O., S. 45; Vischer/Müller, a.a.O., § 11 Rz 19; Wildhaber, Das Arbeitsrecht in Pandemiezeiten, ZSR 2020 Sondernummer "Pandemie und Recht", S. 176 [wo diese Voraussetzungen allerdings als nicht er- füllt betrachtet werden]; ferner auch Streiff/von Kaenel/Rudolph, a.a.O., Art. 324 N 3 S. 383; Brühwiler, a.a.O., Art. 324 N 7 [wonach der Arbeitgeber bei einseitiger Anordnung von Kurzarbeit in Annahmeverzug gerät]). Wenn die Klägerin ihren Lohnanspruch geltend macht, obwohl sie selbst das Arbeitsverhältnis wegen der damaligen Unsicherheiten bezüglich ihrer Arbeitstätigkeit gekündigt und dadurch einen Anspruch auf Kurzarbeitsentschädigung vereitelt hat, liegt darin auch kein offenbarer Missbrauch ihrer Rechte im Sinne von Art. 2 Abs. 2 ZGB. 5. Gegen diese rechtliche Würdigung ist auch mit der Kritik in der Beru- fungsschrift nicht anzukommen: 5.1. Entgegen den Vorbringen der Beklagten ergibt sich aus dem angefoch- tenen Urteil nicht, dass die Vorinstanz bei ihrem Entscheid der Ansicht des SECO "eine besondere Bedeutung" beigemessen bzw. entscheidend auf diese Meinung abgestellt hätte (Urk. 22 S. 7 f. Ziff. 2 f.), welche unverändert aus dem Jahr 2009 übernommen worden und deshalb nicht spezifisch auf die Corona-Pandemie be- zogen sei (wobei Letzteres nichts daran ändert, dass diese Ansicht auch nach Ausbruch der Corona-Pandemie als Antwort auf eine "FAQ" [Frequently Asked Question] zum Thema "Pandemie und Betriebe" auf der Webseite des SECO auf- geschaltet blieb und folglich auch für diese [besondere] Pandemie die Ansicht des SECO wiedergab). So gab die Vorinstanz vor ihrer eigenen Würdigung der Rechtslage zunächst bloss eine Übersicht über die verschiedenen Auffassungen, die im Schrifttum zur strittigen Frage der Lohnfortzahlungspflicht vertreten wer- den. Dabei zitierte sie die Ausführungen des SECO – wenngleich chronologisch zuerst – rein deskriptiv und nur als eine von mehreren Meinungen, welche die Zu- ordnung einer behördlich angeordneten, auf die Covid-19-Pandemie zurückzufüh- renden Betriebsschliessung zum Betriebsrisiko befürworten (Urk. 23 S. 15 f. E. III.2.2.1-2.2.3). Alsdann führte sie jene Autorinnen und Autoren an, welche die gegenteilige Ansicht vertreten (Urk. 23 S. 16 f. E. III.2.2.4). Schliesslich legte sie</w:t>
      </w:r>
    </w:p>
    <w:p>
      <w:r>
        <w:t>- 22 - in argumentativer Auseinandersetzung mit den konträren Meinungsäusserungen und in Würdigung der konkreten Umstände dar, weshalb in casu die Zuordnung zum Betriebsrisiko der Beklagten zu bejahen sei (Urk. 23 S. 18 ff. E. III.3.2). Wenn sie dabei im Ergebnis (zu Recht) jener Auffassung folgte, die auch das SECO (auf seiner Website unter dem Stichwort "19. Lohnfortzahlung, Betriebs- schliessung" in den "FAQs 'Pandemie und Betriebe'") vertrat, ist daran nichts aus- zusetzen, zumal nichts darauf hindeutet, dass sie diese Ansicht einer Verwal- tungsbehörde als bewährte Lehre und Überlieferung im Sinne von Art. 1 Abs. 3 ZGB betrachtet und deshalb im gleichen Sinn entschieden hätte (vgl. Urk. 22 S. 7 Ziff. 2 a.E.; ferner auch BSK ZGB I-Honsell, Art. 1 N 38 f., wonach zur bewährten Überlieferung in erster Linie die Gerichtspraxis ["jurisprudence", "giurisprudenza"] gehöre). Die beklagtische Kritik an der Mitberücksichtigung der Auffassung des SECO bei der vorinstanzlichen Entscheidfindung (Urk. 22 S. 7 f. Ziff. 2 f.) zielt somit an der Sache vorbei und ist unbehelflich. 5.2. Dasselbe gilt für die weiteren beklagtischen Ausführungen "Zu 2. Rechtliches" (Urk. 22 S. 8 ff. Ziff. 4-9). Diese setzen sich nicht mit den konkre- ten, den angefochtenen Entscheid tragenden Argumenten der Vorinstanz (Urk. 23 S. 17 ff. E. III.3) auseinander, sondern kommentieren und bewerten bloss die (bzw. einen Teil der) im angefochtenen Urteil zusammengefassten Äusserungen im Schrifttum. Damit ist kein Mangel im Sinne von Art. 310 ZPO dargetan. Im Übrigen trifft es nicht zu, dass sich bei Thomas Geiser "kein Standpunkt finden" lasse, wonach bei einer behördlich angeordneten Betriebsschliessung ein Fall von Arbeitgeberverzug gemäss Art. 324 OR vorliege (vgl. Urk. 22 S. 8 Ziff. 5). Letzteres wird im zitierten Aufsatz vielmehr explizit bejaht (Geiser, Arbeitsrechtli- che Regelungen im Zusammenhang mit dem Coronavirus, AJP 5/2020, S. 550 f., Ziff. VI.6.1). Entgegen den Vorbringen der Beklagten (Urk. 22 S. 9 Ziff. 6) ist mit Bezug auf die arbeitsvertragliche Lohnfortzahlungspflicht auch die "Aussage" des von der Vorinstanz ebenfalls angeführten Marc Wohlwend vollends klar (Arbeits- leistung und Lohn zu Zeiten des Corona-Virus, Working Paper [zit. in Urk. 23 S. 16 E. III.2.2.3], Ziff. 3.b: "Wenn die Behörden einen Betrieb schliessen oder Veranstaltungen von einer bestimmten Grösse verbieten, liegt eine betriebliche</w:t>
      </w:r>
    </w:p>
    <w:p>
      <w:r>
        <w:t>- 23 - Ursache der Verhinderung der Arbeitsleistung der arbeitnehmenden Person vor, weshalb es zum Annahmeverzug der Arbeitsleistung kommt [...], die arbeitneh- mende Person die Arbeitsleistung nicht erbringen muss und trotzdem ihren Lohn erhält [Art. 324 Abs. 1 OR]. Es handelt sich hierbei um eine kollektive Massnahme nach Art. 40 EpG, die in die Risikosphäre der Arbeitgebenden fällt, weil sie da- durch nicht in der Lage sind, die Arbeitsleistung entgegen zu nehmen. Das gilt für die Arbeitsverhinderung wegen Zufall[s] und höhere[r] Gewalt, aber eben auch bei der Anordnung von Massnahmen durch die Behörden."). 5.3. Soweit die Beklagte der Vorinstanz vorwirft, das Recht falsch ange- wandt zu haben, indem sie die Klägerin von der Pflicht "befreit" habe, ihre Arbeit anzubieten (Urk. 22 S. 11 unten Ziff. 1 f. [zu "3.1. Zum Arbeitsangebot"]), fehlt in der Berufungsbegründung eine rechtsgenügende Auseinandersetzung mit den damit beanstandeten Erwägungen (Urk. 23 S. 17 f. E. III.3.1.2-3.1.3). Die Beklag- te nimmt in ihrer appellatorischen Kritik mit keinem Wort Bezug auf die Argumen- tation der Vorinstanz, wonach die Klägerin ihre Arbeit deshalb nicht habe anbieten müssen, weil im Zeitpunkt der Kündigung klar gewesen sei, dass die Beklagte aufgrund der angeordneten Betriebsschliessung deren Angebot zur Arbeitsleis- tung nicht mehr annehmen würde, und weil die Beklagte selber darauf hingewie- sen habe, dass die Klägerin zu diesem Zeitpunkt ihre Arbeit nicht habe anbieten müssen bzw. ein Arbeitsangebot der Klägerin nicht hätte angenommen werden können (vgl. Urk. 11 Ziff. 14 [und Ziff. 10 in Verbindung mit Urk. 1 Ziff. 13]). In die- sem Punkt ist auf die Berufung nicht weiter einzugehen und bleibt es beim vor- instanzlichen Entscheid (vgl. vorne, E. II.3). Damit erübrigt sich eine Beweisab- nahme zur strittigen Behauptung, die Klägerin habe ihre Arbeit schon kurz vor Weihnachten 2020 angeboten (vgl. Prot. I S. 10 und S. 11/12; Urk. 30 Ziff. 43). 5.4. Im Weiteren verfangen auch die gegen die Qualifikation der Arbeits- verhinderung als Annahmeverzug gerichteten Einwände der Beklagten nicht (Urk. 22 S. 12 ff. Ziff. 1 ff.). Zunächst mag die Corona-Pandemie als solche zwar durchaus ein Jahrhundert-Ereignis darstellen und eine Zurechnung des ersten, bezüglich der betroffenen Betriebe und Branchen sehr weitgehenden Lockdowns vom März 2020 zum Betriebsrisiko der Beklagten diskutabel erscheinen. Im Un-</w:t>
      </w:r>
    </w:p>
    <w:p>
      <w:r>
        <w:t>- 24 - terschied dazu – und allein darum geht es vorliegend (vgl. vorne, E. III.4.1) – stellt der Grund für die Arbeitsverhinderung der Klägerin, nämlich die gemäss Art. 5a Covid-19-VO auf Restaurations- und einige wenige andere Freizeitbetriebe be- schränkte (zweite) behördlich angeordnete Schliessung vom 22. Dezember 2020 kein vollkommen unerwartetes, nicht voraussehbares und vollkommen ausserhalb der Risikosphäre der Beklagten (als Arbeitgeberin im Gastronomiebereich) lie- gendes Ereignis dar, das diese unverhofft und ohne Möglichkeit traf, sich darauf vorzubereiten. Die vorinstanzliche Unterscheidung zwischen dem ersten und dem zweiten Lockdown ist deshalb nicht "konstruiert" (Urk. 22 S. 14 Ziff. 7), sondern in arbeitsrechtlicher Hinsicht durchaus relevant. Die erheblich unterschiedliche Ausgangslage hinsichtlich der Voraussehbar- keit oder wenigstens Erahnbarkeit weiterer pandemiebedingter Unwägbarkeiten sowie der möglichen behördlichen Massnahmen liefert entgegen der pauschalen, nicht näher begründeten Kritik der Beklagten sodann ein schlüssiges Argument, die Überzeugungskraft der abweichenden Lehrmeinungen, welche – von einer Ausnahme abgesehen (vgl. Urk. 22 S. 18 Ziff. 14) – unter dem Eindruck der un- vorhersehbaren Ereignisse zu Beginn des Pandemieausbruchs geäussert wur- den, zu relativieren (vgl. Urk. 22 S. 15 Ziff. 8). Aus denselben Gründen ist, wie die Vorinstanz zu Recht festhielt (Urk. 23 S. 19 f. E. III.3.2.5), auch der von der Be- klagten zitierte Entscheid des deutschen Bundesarbeitsgerichts vom 13. Oktober 2021 (5 AZR 211/21; Urk. 13/2) nicht präjudiziell (vgl. Urk. 22 S. 15 f. Ziff. 9). Zu- dem beruht dieser Entscheid auf zwar vergleichbaren, aber dennoch anderen rechtlichen Grundlagen (§ 615 BGB ["Vergütung bei Annahmeverzug und bei Be- triebsrisiko"]) und bestehen im hiesigen Schrifttum mitunter Bedenken gegen eine unbesehene Übernahme der deutschen Betriebsrisikolehre in die schweizerische Rechtspraxis (BSK ZGB I-Honsell, Art. 1 N 38 m.Hinw. auf Brühwiler, ZSR 1988 I, S. 553 ff.; Flück, a.a.O., S. 90). Die Leistungsunmöglichkeit der Klägerin lag denn auch darin begründet, dass die Beklagte ungeachtet der Erfahrung einer ersten Zwangsschliessung kei- ne Vorkehren getroffen hatte, um die mitten in der Pandemie als Event- Koordinatorin eingestellte Klägerin im Falle eines neuerlichen Lockdowns, dessen</w:t>
      </w:r>
    </w:p>
    <w:p>
      <w:r>
        <w:t>- 25 - Anordnung jederzeit wieder drohen konnte, anderweitig beschäftigen zu können. Mit der erneuten Schliessung der Restaurationsbetriebe realisierte sich somit eine der Beklagten bewusste, aufgrund eines unternehmerischen Entscheids aber zu- mindest in Kauf genommene Gefahr, die ungeachtet des ungewissen Zeitpunkts ihrer Verwirklichung (vgl. Urk. 22 S. 14 Ziff. 7) der Risikosphäre eines auf Banket- te und ähnliche Events ausgerichteten Restaurationsbetriebs zugerechnet werden muss (vgl. vorne, E. III.4.3). Auch war im Sommer 2020 entgegen den Ausführun- gen in der Berufungsschrift (Urk. 22 S. 14 Ziff. 7) durchaus bekannt und abseh- bar, dass erneute Betriebsschliessungen zu jenen Massnahmen gehören könn- ten, mit denen den fortbestehenden Gefahren der Pandemie begegnet würde. In- sofern gehen die Ausführungen der Beklagten zur risikomässigen Zuordnung ei- ner weltumspannenden Pandemie und deren unberechenbaren Folgen sowohl an der Sache als auch an den vorinstanzlichen Erwägungen vorbei. Von einer "All- Risk-Versicherung" für die Klägerin und einer Überdehnung des Begriffs "Be- triebsrisiko" (vgl. Urk. 23 S. 12 Ziff. 2) kann vor diesem Hintergrund keine Rede sein. Schliesslich lässt sich auch aus dem Entscheid des Regionalgerichts Bern- Mittelland vom 17. Februar 2022 (CIV 21 2317), der als echtes Novum zu berück- sichtigen ist (Art. 317 Abs. 1 ZPO), nichts zu Gunsten der Beklagten ableiten (vgl. Urk. 22 S. 19 Ziff. 16). Wie diese selbst ausführt, ging es dort – anders als hier – nicht um eine Nichtannahme der Arbeitsleistung durch die Arbeitgeberin (Annah- meverzug) aufgrund einer Betriebsstörung (Art. 324 OR), sondern um die Nichterbringung zufolge persönlicher Verhinderung des Arbeitnehmers (verzöger- te Reiserückkehr zufolge pandemiebedingter Reisebeschränkungen) bei funktio- nierendem Arbeitsbetrieb (Art. 324a OR). Anders als hier verwirklichte sich dort der Grund für die Nichtleistung also nicht auf Arbeitgeber-, sondern auf Arbeit- nehmerseite. Die beiden Sachverhalte sind deshalb nicht vergleichbar, auch wenn die Arbeitsverhinderung beiderorts auf Einschränkungen im Zusammenhang mit der Corona-Pandemie beruhte. Der Lohnanspruch beurteilt sich denn auch nach verschiedenen, die unterschiedlichen Interessenlagen widerspiegelnden Rechts- normen (Art. 324 und Art. 324a OR), welche ihn unterschiedlichen Voraussetzun- gen unterwerfen. Es bedarf keiner weiteren Erläuterung, dass ein Entscheid, der</w:t>
      </w:r>
    </w:p>
    <w:p>
      <w:r>
        <w:t>- 26 - einen Lohnanspruch nach Art. 324a OR (wegen persönlicher Verhinderung des Arbeitnehmers) verneint, keine präjudizielle Wirkung für die Beurteilung eines Lohnanspruchs nach Art. 324 OR (wegen Annahmeverzugs des Arbeitgebers) haben kann. 5.5. Abschliessend rügt die Beklagte mit Blick auf Art. 324 Abs. 2 OR, die Vorinstanz habe zu Unrecht festgestellt, dass die Klägerin während der Kündi- gungsfrist in den Monaten Januar und Februar 2021 keinen anderweitigen Ver- dienst erzielt bzw. nicht gegen die Pflicht zur Schadensminderung verstossen ha- be. Nachdem sie vor Vorinstanz geltend gemacht habe, die Klägerin sei bereits zu Beginn des Jahres 2021 ins H._____ gezogen und habe dort während laufender Kündigungsfrist gearbeitet, hätte darüber ein Beweisverfahren durchgeführt wer- den müssen. Stattdessen habe die Vorinstanz die von der Beklagen bestrittenen Aussagen der Klägerin ungeprüft dem Entscheid zugrunde gelegt. Dadurch seien die Parteirechte der Beklagten verletzt worden (Urk. 22 S. 20 Ziff. 1 f.). 5.5.1. Darauf ist nicht weiter einzugehen. Einerseits setzt sich die Beklagte nicht einmal ansatzweise mit den Erwägungen auseinander, mit denen die Vorin- stanz begründete, weshalb ihre Behauptungen betreffend Umzug und Arbeitsauf- nahme der Klägerin während der Kündigungsfrist als nicht erstellt zu gelten hätten (Urk. 23 S. 21 f. E. III.3.3.2). Andererseits bezeichnet sie keine Stelle in den vor- instanzlichen Akten, an der sie (form- und fristgerecht) taugliche Beweismittel zu den strittigen Behauptungen offerierte, welche von der Vorinstanz in Verletzung ihres Rechts auf Beweis (Art. 152 Abs. 1 ZPO) nicht abgenommen wurden. Inso- weit genügt die Berufung den gesetzlichen Begründungsanforderungen nicht (vgl. vorne, E. II.3). 5.5.2. Im Übrigen wäre die vorinstanzliche Ansicht, ein anrechenbarer Ver- dienst sei nicht erstellt, auch materiell nicht zu beanstanden. Die Behauptungs- und Beweislast für die Erzielung eines anrechenbaren Einkommens im Sinne von Art. 324 Abs. 2 OR trägt die arbeitgebende Partei (BGE 96 II 52 E. 3 S. 57; BSK OR I-Portmann/Rudolph, Art. 324 N 13; BK-Rehbinder/Stöckli, Art. 324 OR N 25; Streiff/von Kaenel/Rudolph, a.a.O., Art. 324 N 12 S. 395; von Zedtzwitz/Keller, a.a.O., OR 324 N 35; Vischer/Müller, a.a.O., § 11 Rz 11; Müller, a.a.O., S. 69).</w:t>
      </w:r>
    </w:p>
    <w:p>
      <w:r>
        <w:t>- 27 - Entsprechend oblag es der (anwaltlich vertretenen) Beklagten, vor Vorinstanz taugliche Beweismittel für ihre Behauptungen betreffend Umzug der Klägerin ins H._____ und Arbeitsaufnahme vor dem 1. März 2021 zu nennen (vgl. auch vorne, E. II.4). Das hat sie nicht getan. Stattdessen begnügte sie sich damit, gestützt auf die unbelegte und bestrittene Behauptung eines schon Ende 2020 erfolgten Um- zugs eine blosse Vermutung zu äussern (Urk. 11 Ziff. 20 ["Vielmehr ist anzuneh- men, dass die Klägerin wohl spätestens ab Januar 2021 bereits im Hotel E._____ in F._____ gearbeitet hat.]"; vgl. auch Prot. I S. 5 f. ["... es ist zwingend anzuneh- men ..."] und S. 12). Damit liess sich ein (von der Klägerin unter Beibringung einer schriftlichen Bestätigung der neuen Arbeitgeberin bestrittenes; vgl. Prot. I S. 10 und Urk. 19/10) anderweitiges Einkommen aber nicht beweisen. Ist die Beklagte demnach ihrer eigenen Beweisobliegenheit nicht nachgekommen, kann auch kei- ne Verletzung ihres Gehörsanspruchs bzw. ihres Rechts auf Beweis vorliegen. 6. Weitere Rügen werden in der Berufungsschrift nicht erhoben. Insbe- sondere wird weder die Berechnung des geschuldeten Lohnbetrags noch der zu- gesprochene Zins beanstandet (Urk. 23 S. 21 E. III.3.2.9 und S. 22 f. E. IV.2). Damit erübrigen sich diesbezügliche Ausführungen (vgl. vorne, E. II.3). 7. Zusammenfassend ergibt sich, dass die Beklagte nicht (rechtsgenü- gend) nachweist, dass der angefochtene Entscheid an einem Mangel im Sinne von Art. 310 ZPO leidet. Ein solcher ist auch nicht offenkundig (vgl. vorne, E. II.3). Die Berufung ist deshalb abzuweisen, soweit auf sie eingetreten werden kann, und das vorinstanzliche Urteil mit Bezug auf die Klagegutheissung (Dispositivziffer 1 Absatz 1) zu bestätigen (Art. 318 Abs. 1 lit. a ZPO; vorne, E. II.1). IV. Kosten- und Entschädigungsfolgen 1. Im Entscheidverfahren werden bei Streitigkeiten aus dem Arbeitsver- hältnis keine Gerichtskosten erhoben, wenn der Streitwert wie vorliegend Fr. 30'000.– nicht übersteigt (Art. 114 lit. c ZPO). Die Kostenlosigkeit gilt auch für das kantonale Rechtsmittelverfahren (BGer 4A_332/2015 vom 10. Februar 2016, E. 6.2 m.w.Hinw.). Da den Parteien keine bös- oder mutwillige Prozessführung</w:t>
      </w:r>
    </w:p>
    <w:p>
      <w:r>
        <w:t>- 28 - vorzuwerfen ist (vgl. Art. 115 Abs. 1 ZPO und dazu BGer 4A_685/2011 vom 24. Mai 2012, E. 6.2), sind für das Berufungsverfahren keine Gerichtskosten zu erheben. 2. Die Kostenfreiheit gemäss Art. 114 ZPO bezieht sich nur auf die Ge- richtskosten. Die Zusprechung von Parteientschädigungen erfolgt nach den all- gemeinen Regeln (Art. 105 ff. ZPO; BK ZPO I-Sterchi, Art. 113 und 114 N 5; Ur- wyler/Grütter, DIKE-Komm-ZPO, Art. 114 N 2; CHK-Sutter-Somm/Seiler, ZPO 114 N 1 m.w.Hinw.). Die vor Zweitinstanz vollumfänglich unterliegende Beklagte ist deshalb antragsgemäss (vgl. Urk. 30 S. 2) zu verpflichten, der Klägerin für das Berufungsverfahren eine volle Parteientschädigung zu bezahlen (Art. 106 Abs. 1 ZPO). Bei einem Streitwert von Fr. 11'266.65 (vgl. BGer 4A_112/2017 vom 30. August 2017, E. 1; BSK ZPO-Rüegg/Rüegg, Art. 91 N 4; Urk. 5/3 Ziff. 8) ist deren Höhe auf insgesamt Fr. 1'615.50 (Fr. 1'500.– zuzüglich 7.7 % Mehrwert- steuer) festzusetzen (§ 2 Abs. 1, § 4 Abs. 1, § 11 Abs. 1 und § 13 Abs. 1 und 2 AnwGebV). 3. Die Nebenfolgenregelung des erstinstanzlichen Verfahrens wird von den Parteien weder selbstständig angefochten noch konkret bemängelt (vgl. Urk. 22 S. 2 und S. 20; Urk. 30 S. 2 und S. 15). Sie entspricht dem Verfahrens- ausgang (vgl. Art. 106 Abs. 1 ZPO) und ist deshalb zu bestätigen (Art. 318 Abs. 1 lit. a ZPO). Es wird erkannt: 1. Die Berufung wird abgewiesen, soweit auf sie eingetreten wird, und Disposi- tivziffer 1 Absatz 1 des Urteils des Arbeitsgerichts Zürich, 3. Abteilung, vom 14. Februar 2022 wird bestätigt. 2. Die Dispositivziffern 2 und 3 des vorinstanzlichen Urteils (betreffend Kosten- und Entschädigungsfolgen) werden bestätigt. 3. Für das Berufungsverfahren werden keine Kosten erhoben.</w:t>
      </w:r>
    </w:p>
    <w:p>
      <w:r>
        <w:t>- 29 - 4. Die Beklagte wird verpflichtet, der Klägerin für das Berufungsverfahren eine Parteientschädigung von Fr. 1'615.50 zu bezahlen. 5. Schriftliche Mitteilung an die Parteien und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11'266.65. Die Beschwerde an das Bundesgericht hat keine aufschiebende Wirkung. Hinsichtlich des Fristenlaufs gelten die Art. 44 ff. BGG. Zürich, 6. Februar 2023 Obergericht des Kantons Zürich I. Zivilkammer Der Vorsitzende: Der Gerichtsschreiber: lic. iur. A. Huizinga Dr. M. Nietlispach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