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LA200019 vom 15. Januar 2021</w:t>
      </w:r>
    </w:p>
    <w:p>
      <w:r>
        <w:t>ZH Obergericht, 2021-01-15, DE</w:t>
      </w:r>
    </w:p>
    <w:p>
      <w:r>
        <w:rPr>
          <w:b/>
        </w:rPr>
        <w:t xml:space="preserve">Quelle: </w:t>
      </w:r>
      <w:r>
        <w:t>https://mcp.opencaselaw.ch/entscheid/zh_obergericht_LA200019</w:t>
      </w:r>
    </w:p>
    <w:p>
      <w:r>
        <w:t>FR: ZH_OBERGERICHT LA200019 du 15 janvier 2021</w:t>
      </w:r>
    </w:p>
    <w:p>
      <w:r>
        <w:t>IT: ZH_OBERGERICHT LA200019 del 15 gennaio 2021</w:t>
      </w:r>
    </w:p>
    <w:p>
      <w:pPr>
        <w:pStyle w:val="Heading2"/>
      </w:pPr>
      <w:r>
        <w:t>Erwägungen</w:t>
      </w:r>
    </w:p>
    <w:p>
      <w:r>
        <w:rPr>
          <w:b/>
        </w:rPr>
        <w:t>E. 1</w:t>
      </w:r>
    </w:p>
    <w:p>
      <w:r>
        <w:t>Mit der Berufung kann sowohl die unrichtige Rechtsanwendung als auch die unrichtige Feststellung des Sachverhalts geltend gemacht werden (Art. 310 ZPO). Die Berufungsinstanz verfügt über eine uneingeschränkte Überprüfungsbefugnis bezüglich Tat- und Rechtsfragen. In der schriftlichen Berufungsbegründung (Art. 311 ZPO) ist hinreichend genau aufzuzeigen, inwiefern der erstinstanzliche Entscheid in den angefochtenen Punkten als fehlerhaft zu betrachten ist bzw. an einem der genannten Mängel leidet. Das setzt (im Sinne einer Eintretensvoraus- setzung) voraus, dass der Berufungskläger die vorinstanzlichen Erwägungen be- zeichnet, die er anficht, sich inhaltlich mit diesen auseinandersetzt und mittels präziser Verweisungen auf die Akten aufzeigt, wo die massgebenden Behauptun- gen, Erklärungen, Bestreitungen und Einreden erhoben wurden bzw. aus welchen konkreten Aktenstellen sich der geltend gemachte Berufungsgrund ergeben soll (vgl. BGE 138 III 374 E. 4.3.1 S. 375 f.; BGer 5A_751/2014 vom 28. Mai 2015, E. 2.1; 5A_635/2015 vom 21. Juni 2016, E. 5.2; Hungerbühler/Bucher, DIKE- Komm-ZPO, Art. 311 N 37 ff.; ZK ZPO-Reetz/Theiler, Art. 311 N 36). Was nicht oder nicht in einer den gesetzlichen Begründungsanforderungen genügenden Weise beanstandet wird, braucht von der Rechtsmittelinstanz – abgesehen von offensichtlichen Mängeln – nicht überprüft zu werden und hat grundsätzlich Be- stand (vgl. BGE 142 III 413 E. 2.2.4 S. 417 m.w.H.; BGer 5A_111/2016 vom</w:t>
      </w:r>
    </w:p>
    <w:p>
      <w:r>
        <w:rPr>
          <w:b/>
        </w:rPr>
        <w:t>E. 6</w:t>
      </w:r>
    </w:p>
    <w:p>
      <w:r>
        <w:t>Schriftliche Mitteilung an die Parteien und an die Vorinstanz, je gegen Emp- fangsschein. Nach unbenutztem Ablauf der Rechtsmittelfrist gehen die erstinstanzlichen Akten an die Vorinstanz zurück.</w:t>
      </w:r>
    </w:p>
    <w:p>
      <w:r>
        <w:t>- 16 -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20'100.–. Die Beschwerde an das Bundesgericht hat keine aufschiebende Wirkung. Hinsichtlich des Fristenlaufs gelten die Art. 44 ff. BGG. Zürich, 15. Januar 2021 Obergericht des Kantons Zürich I. Zivilkammer Die Gerichtsschreiberin: lic. iur. G. Ramer Jenny versandt am: 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