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LA200005 vom 13. August 2020</w:t>
      </w:r>
    </w:p>
    <w:p>
      <w:r>
        <w:t>ZH Obergericht, 2020-08-13, DE</w:t>
      </w:r>
    </w:p>
    <w:p>
      <w:r>
        <w:rPr>
          <w:b/>
        </w:rPr>
        <w:t xml:space="preserve">Quelle: </w:t>
      </w:r>
      <w:r>
        <w:t>https://mcp.opencaselaw.ch/entscheid/zh_obergericht_LA200005</w:t>
      </w:r>
    </w:p>
    <w:p>
      <w:r>
        <w:t>FR: ZH_OBERGERICHT LA200005 du 13 août 2020</w:t>
      </w:r>
    </w:p>
    <w:p>
      <w:r>
        <w:t>IT: ZH_OBERGERICHT LA200005 del 13 agosto 2020</w:t>
      </w:r>
    </w:p>
    <w:p>
      <w:pPr>
        <w:pStyle w:val="Heading2"/>
      </w:pPr>
      <w:r>
        <w:t>Erwägungen</w:t>
      </w:r>
    </w:p>
    <w:p>
      <w:r>
        <w:rPr>
          <w:b/>
        </w:rPr>
        <w:t>E. 1</w:t>
      </w:r>
    </w:p>
    <w:p>
      <w:r>
        <w:t>a) Die Parteien standen seit dem 4. Mai 2018 vor Erstinstanz in einem ar- beitsrechtlichen Forderungsverfahren. Mit Urteil vom 25. November 2019 ent- schied die Vorinstanz das Folgende (Urk. 55 S. 32 = Urk. 63 S. 32): " 1. Die Klage wird abgewiesen.</w:t>
      </w:r>
    </w:p>
    <w:p>
      <w:r>
        <w:rPr>
          <w:b/>
        </w:rPr>
        <w:t>E. 2</w:t>
      </w:r>
    </w:p>
    <w:p>
      <w:r>
        <w:t>Die Entscheidgebühr wird auf Fr. 10'500.– festgesetzt.</w:t>
      </w:r>
    </w:p>
    <w:p>
      <w:r>
        <w:rPr>
          <w:b/>
        </w:rPr>
        <w:t>E. 3</w:t>
      </w:r>
    </w:p>
    <w:p>
      <w:r>
        <w:t>Die Gerichtskosten werden dem Kläger vollumfänglich auferlegt. Die Gerichtskosten werden aus dem vom Kläger geleisteten Vor- schuss bezogen. Der Fehlbetrag von Fr. 1'750.– wird vom Kläger nachgefordert.</w:t>
      </w:r>
    </w:p>
    <w:p>
      <w:r>
        <w:rPr>
          <w:b/>
        </w:rPr>
        <w:t>E. 4</w:t>
      </w:r>
    </w:p>
    <w:p>
      <w:r>
        <w:t>Die Kläger wird verpflichtet, der Beklagten eine Parteientschädi- gung in der Höhe von Fr. 14'000.– (inkl. Mehrwertsteuer) zu bezah- len.</w:t>
      </w:r>
    </w:p>
    <w:p>
      <w:r>
        <w:rPr>
          <w:b/>
        </w:rPr>
        <w:t>E. 5</w:t>
      </w:r>
    </w:p>
    <w:p>
      <w:r>
        <w:t>Schriftliche Mitteilung an die Parteien.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15'000.–. Die Beschwerde an das Bundesgericht hat keine aufschiebende Wirkung. Hinsichtlich des Fristenlaufs gelten die Art. 44 ff. BGG. Zürich, 13. August 2020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