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LA190021 vom 23. Dezember 2019</w:t>
      </w:r>
    </w:p>
    <w:p>
      <w:r>
        <w:t>ZH Obergericht, 2019-12-23, DE</w:t>
      </w:r>
    </w:p>
    <w:p>
      <w:r>
        <w:rPr>
          <w:b/>
        </w:rPr>
        <w:t xml:space="preserve">Quelle: </w:t>
      </w:r>
      <w:r>
        <w:t>https://mcp.opencaselaw.ch/entscheid/zh_obergericht_LA190021</w:t>
      </w:r>
    </w:p>
    <w:p>
      <w:r>
        <w:t>FR: ZH_OBERGERICHT LA190021 du 23 décembre 2019</w:t>
      </w:r>
    </w:p>
    <w:p>
      <w:r>
        <w:t>IT: ZH_OBERGERICHT LA190021 del 23 dicembre 2019</w:t>
      </w:r>
    </w:p>
    <w:p>
      <w:pPr>
        <w:pStyle w:val="Heading2"/>
      </w:pPr>
      <w:r>
        <w:t>Erwägungen</w:t>
      </w:r>
    </w:p>
    <w:p>
      <w:r>
        <w:rPr>
          <w:b/>
        </w:rPr>
        <w:t>E. 1</w:t>
      </w:r>
    </w:p>
    <w:p>
      <w:r>
        <w:t>Januar 2011 bis zum 31. Oktober 2016 beim Beklagten als delegierte Psycho- therapeutin tätig (Urk. 1 S. 4; Urk. 13 S. 4). Zu diesem Zweck schlossen die Par- teien am 3. November 2010 eine als Arbeitsvertrag bezeichnete Vereinbarung mit Arbeitsbeginn per 1. Januar 2011 (Urk. 5/2) und unterzeichneten gleichentags das dazugehörige Dokument "Regelungen und Gedanken für die Zusammenarbeit in delegierter Psychotherapie in der Psychiatrisch/Psychotherapeutischen Praxis- gemeinschaft Dr. A._____" (Urk. 5/3; nachfolgend: "Regelungen für die Zusam- menarbeit"). Mit Schreiben vom 22. Juli 2016 kündigte der Beklagte den Vertrag mit der Klägerin unter Einhaltung der dreimonatigen Kündigungsfrist per 31. Oktober 2016 (Urk. 5/4). Die Klägerin macht mit der vorliegenden Klage einen nunmehr bezifferten Anteil aus dem Poolkonto/Risiko/Absicherungskonto (nach- folgend: Poolkonto) von Fr. 31'457.35 sowie Ferienlohn von Fr. 28'842.60 geltend (Urk. 1 S. 2, Urk. 40 S. 2).</w:t>
      </w:r>
    </w:p>
    <w:p>
      <w:r>
        <w:rPr>
          <w:b/>
        </w:rPr>
        <w:t>E. 2</w:t>
      </w:r>
    </w:p>
    <w:p>
      <w:r>
        <w:t>Die Gerichtskosten für das erstinstanzliche Verfahren werden auf Fr. 6'500.-- festgesetzt.</w:t>
      </w:r>
    </w:p>
    <w:p>
      <w:r>
        <w:rPr>
          <w:b/>
        </w:rPr>
        <w:t>E. 3</w:t>
      </w:r>
    </w:p>
    <w:p>
      <w:r>
        <w:t>Die zweitinstanzliche Entscheidgebühr wird auf Fr. 6'130.-- festgesetzt.</w:t>
      </w:r>
    </w:p>
    <w:p>
      <w:r>
        <w:rPr>
          <w:b/>
        </w:rPr>
        <w:t>E. 4</w:t>
      </w:r>
    </w:p>
    <w:p>
      <w:r>
        <w:t>Die Gerichtskosten für das erstinstanzliche Verfahren werden der Klägerin auferlegt und mit ihrem Kostenvorschuss verrechnet.</w:t>
      </w:r>
    </w:p>
    <w:p>
      <w:r>
        <w:t>- 19 -</w:t>
      </w:r>
    </w:p>
    <w:p>
      <w:r>
        <w:rPr>
          <w:b/>
        </w:rPr>
        <w:t>E. 5</w:t>
      </w:r>
    </w:p>
    <w:p>
      <w:r>
        <w:t>Die Gerichtskosten für das zweitinstanzliche Verfahren werden der Klägerin auferlegt und mit dem geleisteten Kostenvorschuss verrechnet. Die Klägerin wird verpflichtet, dem Beklagten den geleisteten Vorschuss von Fr. 6'130.-- zu ersetzen.</w:t>
      </w:r>
    </w:p>
    <w:p>
      <w:r>
        <w:rPr>
          <w:b/>
        </w:rPr>
        <w:t>E. 6</w:t>
      </w:r>
    </w:p>
    <w:p>
      <w:r>
        <w:t>Die Klägerin wird verpflichtet, dem Beklagten für beide Verfahren eine Par- teientschädigung von insgesamt Fr. 15'355.50 zu bezahlen.</w:t>
      </w:r>
    </w:p>
    <w:p>
      <w:r>
        <w:rPr>
          <w:b/>
        </w:rPr>
        <w:t>E. 7</w:t>
      </w:r>
    </w:p>
    <w:p>
      <w:r>
        <w:t>Schriftliche Mitteilung an die Parteien sowie an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57'255.35. Die Beschwerde an das Bundesgericht hat keine aufschiebende Wirkung. Hinsichtlich des Fristenlaufs gelten die Art. 44 ff. BGG, Zürich, 23. Dezember 2019 Obergericht des Kantons Zürich I. Zivilkammer Die Vorsitzende: Die Gerichtsschreiberin: Dr. L. Hunziker Schnider lic. iur. N. A. Gerber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