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LA180013 vom 23. Oktober 2018</w:t>
      </w:r>
    </w:p>
    <w:p>
      <w:r>
        <w:t>ZH Obergericht, 2018-10-23, DE</w:t>
      </w:r>
    </w:p>
    <w:p>
      <w:r>
        <w:rPr>
          <w:b/>
        </w:rPr>
        <w:t xml:space="preserve">Quelle: </w:t>
      </w:r>
      <w:r>
        <w:t>https://mcp.opencaselaw.ch/entscheid/zh_obergericht_LA180013</w:t>
      </w:r>
    </w:p>
    <w:p>
      <w:r>
        <w:t>FR: ZH_OBERGERICHT LA180013 du 23 octobre 2018</w:t>
      </w:r>
    </w:p>
    <w:p>
      <w:r>
        <w:t>IT: ZH_OBERGERICHT LA180013 del 23 ottobre 2018</w:t>
      </w:r>
    </w:p>
    <w:p>
      <w:pPr>
        <w:pStyle w:val="Heading2"/>
      </w:pPr>
      <w:r>
        <w:t>Erwägungen</w:t>
      </w:r>
    </w:p>
    <w:p>
      <w:r>
        <w:rPr>
          <w:b/>
        </w:rPr>
        <w:t>E. 1</w:t>
      </w:r>
    </w:p>
    <w:p>
      <w:r>
        <w:t>Die Beklagte ist eine Aktiengesellschaft, welche verschiedene Dienst- leistungen im Bereich Personalvermittlung und -ausleihung erbringt. Der Kläger war bei der Beklagten seit dem 1. April 2008 zuerst als Personalberater und spä- ter als Filialleiter, sog. "Branch Manager" tätig (Urk. 9/7 und 9/8). Mit Schreiben vom 21. Oktober 2013 teilte die Beklagte dem Kläger mit, er werde per sofort vom Posten des Branch Managers der Filiale Zürich … [Ort] enthoben, aber weiterhin als "Senior Personnel Advisor" im Unternehmen tätig bleiben. Die Provisionen von 0.5 % des Konzern- sowie von 1 % des Filialenumsatzes würden daher rückwir- kend für das Jahr 2013 entfallen (Urk. 9/2). Ab dem 1. November 2013 war der Kläger wegen Krankheit zu 100 % arbeitsunfähig (Urk. 9/5). Gleichzeitig stellte die Beklagte den Kläger frei (Urk. 14/21). Schliesslich kündigte der Kläger seinen Ar- beitsvertrag mit Schreiben vom 28. November 2013 unter Einhaltung der zweimo- natigen Kündigungsfrist per Ende Januar 2014 (Urk. 9/6). Am 12. Januar 2015 liess der Kläger unter Einreichung der Klagebewilligung vom 23. September 2014 (Urk. 3) bei der Vorinstanz eine Klage mit dem vorstehend zitierten Rechtsbegeh- ren anhängig machen (Urk. 1). Im Einzelnen machte der Kläger vor der Vorin- stanz insbesondere geltend, die Beklagte schulde ihm eine Zusatzprovision für das Jahr 2013 und Januar 2014 (pro rata) sowie 2 % Beteiligung am Filialen- Bruttogewinn und 3 % Beteiligung am Konzern-Bruttogewinn (exkl. Medical) ge- teilt durch die Anzahl Filialen für das Jahr 2013 sowie Januar 2014 (pro rata). Da- bei errechnete er Provisionsansprüche von insgesamt Fr. 117'788.60, forderte</w:t>
      </w:r>
    </w:p>
    <w:p>
      <w:r>
        <w:t>- 5 - teilklageweise allerdings lediglich die Zusprechung eines Betrages von maximal Fr. 30'000.–, eventualiter Fr. 20'000.– (Urk. 8 S. 9; Prot. I S. 9). Nach durchge- führter Hauptverhandlung und vollzogenem Beweisverfahren, unter anderem mit diversen Zeugeneinvernahmen, sowie nach Erstattung je zweier Schlussvorträge durch die Parteien fällte die Vorinstanz am 21. März 2018 schliesslich den ein- gangs wiedergegebenen Endentscheid (Urk. 120). Betreffend den detaillierten Prozessverlauf des erstinstanzlichen Verfahrens kann im Übrigen auf die Darstel- lung im angefochtenen Entscheid verwiesen werden (Urk. 120 E. 1, S. 3 f.).</w:t>
      </w:r>
    </w:p>
    <w:p>
      <w:r>
        <w:rPr>
          <w:b/>
        </w:rPr>
        <w:t>E. 2</w:t>
      </w:r>
    </w:p>
    <w:p>
      <w:r>
        <w:t>Gegen den vorinstanzlichen Entscheid erhob der Kläger mit Eingabe vom 7. Mai 2018 rechtzeitig (vgl. Urk. 118/1) Berufung mit den eingangs zitierten Anträgen (Urk. 119 S. 2). Mit Eingabe vom 23. August 2018 erstattete die Beklag- te innert angesetzter Frist (vgl. Urk. 123) ihre Berufungsantwort (Urk. 124). Das Doppel dieser Eingabe wurde dem Kläger mit Verfügung vom 29. August 2018 zur Kenntnis zugestellt (Urk. 125), woraufhin dieser innert erstreckter Frist (vgl. Urk. 126) sein Replikrecht beanspruchte (Urk. 127). Das Doppel der letzten kläge- rischen Eingabe wurde der Beklagten zur Kenntnis zugestellt (vgl. Urk. 127). Wei- tere Eingaben der Parteien folgten nicht.</w:t>
      </w:r>
    </w:p>
    <w:p>
      <w:r>
        <w:rPr>
          <w:b/>
        </w:rPr>
        <w:t>E. 3</w:t>
      </w:r>
    </w:p>
    <w:p>
      <w:r>
        <w:t>Die vorinstanzlichen Akten wurden beigezogen (Urk. 1-118). Das Ver- fahren erweist sich als spruchreif. II. 1. Mit der Berufung kann eine unrichtige Rechtsanwendung und eine un- richtige Feststellung des Sachverhalts geltend gemacht werden (Art. 310 ZPO). Die Berufungsinstanz verfügt über eine vollständige Überprüfungsbefugnis der Streitsache, mithin über unbeschränkte Kognition bezüglich Tat- und Rechtsfra- gen, einschliesslich der Frage richtiger Ermessensausübung (Angemessenheits- prüfung;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w:t>
      </w:r>
    </w:p>
    <w:p>
      <w:r>
        <w:t>- 6 - BGE 138 III 374 E. 4.3.1). Die Berufungsinstanz hat sich – abgesehen von offen- sichtlichen Mängeln – grundsätzlich auf die Beurteilung der Beanstandungen zu beschränken, die in der Berufungsschrift in rechtsgenügender Weise erhoben werden (vgl. BGE 142 III 413 E. 2.2.4). Aufgrund der umfassenden Überprü- fungsbefugnis ist die Berufungsinstanz allerdings nicht an die mit den Rügen vor- gebrachte Argumentation oder an die Erwägungen der Vorinstanz gebunden, sondern kann die Rügen auch mit abweichenden Erwägungen gutheissen oder abweisen (ZK ZPO-Reetz/Theiler, Art. 310 N 6). 2. Mit Dispositiv-Ziffer 1 der angefochtenen Verfügung wurde das Verfah- ren betreffend Arbeitszeugnis als durch Klagerückzug erledigt abgeschrieben; mit Dispositiv-Ziffer 2 wurde auf die Klageänderung anlässlich der Hauptverhandlung (Erhöhung der geldmässigen Forderung um Fr. 10'000.–) nicht eingetreten. Vor Obergericht verlangt der Kläger zwar die Aufhebung des gesamten vorinstanzli- chen Entscheides, allerdings fordert er in der Sache bloss die Zusprechung des teilklageweise eingeklagten Betrages in der Höhe von Fr. 20'000.– (Urk. 119 S. 2). Auch in seiner Berufungsbegründung nimmt er lediglich auf das Nichteintre- ten gemäss Dispositiv-Ziffer 3 der vorinstanzlichen Verfügung Bezug (vgl. Urk. 119 S. 4 ff.). Damit blieben die Dispositiv-Ziffern 1 und 2 unangefochten, weshalb diese in Rechtskraft erwachsen sind. Davon ist Vormerk zu nehmen. III. 1. Die Vorinstanz begründet ihr Nichteintreten auf die Teilklagen betref- fend Provisions- und Beteiligungsansprüche des Klägers im Gesamtbetrag von maximal Fr. 20'000.– damit, dass das klägerische Rechtsbegehren dem Be- stimmtheitserfordernis der ZPO nicht genüge. Hierzu führt sie im Wesentlichen aus, der Kläger kombiniere mit seinem Rechtsbegehren Teilklagen und objektive Klagenhäufung. So fordere er von seinem behaupteten Gesamtanspruch von Fr. 117'788.60 (Provisionsansprüche von Fr. 64'616.70 und Ansprüche auf Filial- und Konzernbruttogewinn von Fr. 21'025.75 und Fr. 32'146.15) nur einen Teil von maximal Fr. 20'000.–, nämlich Fr. 10'000.– für seine Provisionsansprüche und je Fr. 5'000.– für seine Ansprüche aus Filial- und Bruttogewinn. Dabei handle es</w:t>
      </w:r>
    </w:p>
    <w:p>
      <w:r>
        <w:t>- 7 - sich um drei Forderungen unterschiedlicher Natur aus jeweils zwei verschiedenen Jahren (2013 und Januar 2014), welche sich zwar alle auf denselben Arbeitsver- trag samt Zusätze und Abänderungen stützen würden, aber verschiedene Verein- barungen in denselben oder unterschiedlichen Perioden beträfen. Folglich lägen sechs separate, eigenständige Ansprüche vor, was bei gleichzeitiger Geltendma- chung mittels vorliegender Klage eine objektive Klagenhäufung darstelle. Bei der Kombination von Teilklage und Klagenhäufung sei gemäss bundesgerichtlicher Rechtsprechung zu beachten, dass beim Rechtsbegehren der Anforderung der genügenden Individualisierung Genüge getan werden müsse. Konkret müsse der Kläger angeben, in welcher Reihenfolge und/oder in welchem Umfang die einzel- nen Ansprüche geltend gemacht würden. So gehe das Bundesgericht von einer unzulässigen alternativen Klagenhäufung aus, wenn die klagende Partei mehrere Ansprüche geltend mache, es jedoch dem Gericht oder der beklagten Partei über- lasse, zu entscheiden, über welchen bzw. welche davon befunden werde. Vorlie- gend sei der Kläger vom Einzelrichter – vor Erscheinen dieser bundesgerichtli- chen Rechtsprechung – anlässlich der Hauptverhandlung auf die Notwendigkeit der Präzisierung und Festlegung einer Prüfungsreihenfolge hingewiesen worden. Daraufhin habe der Kläger präzisiert, dass sich die Forderung von Fr. 20'000.– aus Provisionsansprüchen in der Höhe von Fr. 10'000.– und Ansprüchen auf Fili- al- und Konzernbruttogewinn von je Fr. 5'000.– zusammensetze. Diese Präzisie- rung sei jedoch im Lichte des genannten Bundesgerichtsentscheides ungenü- gend, bleibe doch noch immer unklar, in welcher Reihenfolge oder welchem Be- trag der Kläger jeweils die Provisionsansprüche des Jahres 2013 und des Monats Januar 2014 und die Ansprüche auf Beteiligung am Filial- und Konzernbruttoge- winn des Jahres 2013 und des Monats Januar 2014 geltend mache. So könnten sich alle drei Beträge nur auf das Jahr 2013 beziehen oder aber jeweils den An- spruch für Januar 2014 vollständig und zusätzlich teilweise Ansprüche für 2013 abdecken. Zudem könnte diese Zusammensetzung bei jedem der drei Teilbeträge verschieden sein. Damit habe es der Kläger dem Gericht überlassen, sich für eine Zusammensetzung der Teilbeträge zu entscheiden und letztlich offengelassen, über welchen Anspruch dieses befinden solle. Da der Kläger bereits anlässlich der Hauptverhandlung auf eine entsprechende Präzisierung hingewiesen worden</w:t>
      </w:r>
    </w:p>
    <w:p>
      <w:r>
        <w:t>- 8 - sei, erübrige sich eine weitere Aufforderung. Der anwaltlich vertretene Kläger müsse zudem mittlerweile Kenntnis vom für Teilklagen wegweisenden BGE 142 III 683 haben. Er hätte spätestens bei dessen Kenntnisnahme reagieren müssen. Bis zuletzt habe er jedoch eine Präzisierung des eingeklagten Betrages nicht für nötig erachtet, weshalb auf sein Rechtsbegehren nicht einzutreten sei (Urk. 120 E. IV/2, S. 8 ff.). 2. Der Kläger rügt zusammengefasst eine Verletzung des rechtlichen Ge- hörs und insbesondere der gerichtlichen Fragepflicht sowie einen Verstoss gegen das Gebot von Treu und Glauben und das Willkürverbot (Urk. 119 S. 4 f.). Die Beklagte ist demgegenüber der Ansicht, das Nichteintreten auf die Teilklagen be- treffend Provisions- und Beteiligungsansprüche sei mangels Bestimmtheit des Rechtsbegehrens zu Recht erfolgt; sie beantragt daher die Abweisung der Beru- fung (Urk. 124). Wie die nachfolgenden Ausführungen zeigen, erübrigt sich vorlie- gend eine Auseinandersetzung mit den einzelnen Rügen des Klägers und den Vorbringen der Parteien.</w:t>
      </w:r>
    </w:p>
    <w:p>
      <w:r>
        <w:rPr>
          <w:b/>
        </w:rPr>
        <w:t>E. 3.1</w:t>
      </w:r>
    </w:p>
    <w:p>
      <w:r>
        <w:t>Die Vorinstanz stützt sich in der angefochtenen Verfügung auf die im Zeitpunkt ihres Entscheides geltende bundesgerichtliche Rechtsprechung gemäss BGE 142 III 683 vom 18. Oktober 2016. Mit BGer 4A_442/2017 vom 28. August 2018 (zur Publikation vorgesehen) hat das Bundesgericht seine Praxis in Bezug auf Teilklagen und objektive Klagenhäufung allerdings geändert. Das Bundesge- richt hat dazu Folgendes ausgeführt (BGer 4A_442/2017 vom 28. August 2018, E. 2.4): "Insgesamt erweist sich die in BGE 142 III 683 vorgenommene Unterschei- dung zwischen Fällen, in denen mehrere Streitgegenstände gehäuft werden, und solchen, in denen verschiedene Schadensposten innerhalb eines einzigen Streit- gegenstandes eingeklagt werden, als nicht praktikabel. Mangels eindeutiger Krite- rien ist für die klagende Partei nicht zuverlässig vorherzusehen, ob die von ihr zur Begründung vorgetragenen Tatsachen als ein einziger, einheitlicher Lebenssach- verhalt gewürdigt oder ob und gegebenenfalls wie sie vom Gericht aufgegliedert werden. Folglich hat sie keine Klarheit darüber, inwieweit sie – unter sonstiger Nichteintretensfolge – angeben muss, in welcher Reihenfolge und in welchem</w:t>
      </w:r>
    </w:p>
    <w:p>
      <w:r>
        <w:t>- 9 - Umfang die einzelnen Teilbeträge geprüft werden müssen. […] Unter diesen Um- ständen kann an dieser Unterscheidung nicht festgehalten werden. Vielmehr ist in Änderung der Rechtsprechung auf das Erfordernis zu verzichten, dass, wenn mehrere Ansprüche in einer Teilklage gehäuft werden, in der Klage zu präzisieren ist, in welcher Reihenfolge und/oder in welchem Umfang die einzelnen Ansprüche geltend gemacht werden. Im Sinne der Praxis vor Inkrafttreten der ZPO ist ledig- lich zu verlangen, dass die klagende Partei hinreichend substanziiert behauptet, es bestehe eine den eingeklagten Betrag übersteigende Forderung […]. Dabei hat sie jeden einzelnen (Teil-) Anspruch gemäss den allgemeinen Substanziierungs- anforderungen schlüssig vorzutragen, so dass das Gericht durch Subsumtion un- ter die einschlägigen Gesetzesbestimmungen die Begründetheit beurteilen und die beklagte Partei sich dagegen verteidigen kann […]. Tut sie dies, ist die Klage gemäss Art. 86 ZPO zulässig und steht es grundsätzlich im Ermessen des Ge- richts, in welcher Reihenfolge es die verschiedenen Ansprüche prüft […]."</w:t>
      </w:r>
    </w:p>
    <w:p>
      <w:r>
        <w:rPr>
          <w:b/>
        </w:rPr>
        <w:t>E. 3.2</w:t>
      </w:r>
    </w:p>
    <w:p>
      <w:r>
        <w:t>Eine neue Rechtsprechung ist grundsätzlich sofort und überall anzu- wenden. Sie gilt nicht nur für künftige, sondern für alle im Zeitpunkt der Änderung noch hängigen Fälle (BGE 142 V 551 E. 4.1; 135 II 78 E. 3.2; 132 II 153 E. 5.1; BGer 2C_199/2017 vom 12. Juli 2018, E. 3.5).</w:t>
      </w:r>
    </w:p>
    <w:p>
      <w:r>
        <w:rPr>
          <w:b/>
        </w:rPr>
        <w:t>E. 3.3</w:t>
      </w:r>
    </w:p>
    <w:p>
      <w:r>
        <w:t>Im Lichte der neuen Rechtsprechung erweist sich das Nichteintreten der Vorinstanz auf die Teilklagen betreffend Provisions- und Beteiligungsansprü- che als unrichtig. Da eine Präzisierung in Bezug auf die Reihenfolge und/oder den Umfang der einzelnen Ansprüche vom Bundesgericht nicht mehr gefordert wird, genügt das klägerische Rechtsbegehren dem Bestimmtheitserfordernis der ZPO. So fordert der Kläger von seinem behaupteten Gesamtanspruch in der Höhe von Fr. 117'788.60 teilklageweise einstweilen maximal einen Betrag von Fr. 20'000.– zzgl. Verzugszins von 5 % seit Fälligkeit (Urk. 8 S. 9; Prot. I S. 9). An der Haupt- verhandlung präzisierte er schliesslich, dass sich die Forderung von Fr. 20'000.– aus Provisionsansprüchen in der Höhe von Fr. 10'000.– und aus Ansprüchen auf Beteiligung am Filial- und Konzernbruttogewinn von je Fr. 5'000.– zusammenset- ze (Prot. I S. 9). Seine Teilklagen im Sinne von Art. 86 ZPO sind daher zulässig. Ob er diese Teilansprüche auch im Sinne von BGer 4A_442/2017 hinreichend</w:t>
      </w:r>
    </w:p>
    <w:p>
      <w:r>
        <w:t>- 10 - substanziiert hat, wurde weder von der Vorinstanz noch von den Parteien thema- tisiert. Die Berufungsinstanz hat daher keinen Anlass, sich damit zu befassen.</w:t>
      </w:r>
    </w:p>
    <w:p>
      <w:r>
        <w:rPr>
          <w:b/>
        </w:rPr>
        <w:t>E. 3.4</w:t>
      </w:r>
    </w:p>
    <w:p>
      <w:r>
        <w:t>Nach dem Gesagten ist auf die Teilklagen betreffend Provisions- und Beteiligungsansprüche einzutreten. Der vorinstanzliche Entscheid leidet an einem offensichtlichen Mangel, weshalb dessen Dispositiv-Ziffern 3-5 aufzuheben sind und die Sache an die Vorinstanz zur weiteren Prüfung der Klage zurückzuweisen ist (Art. 318 Abs. 1 lit. c ZPO). Dabei liegt es im Ermessen der Vorinstanz, eine Prüfungsreihenfolge der verschiedenen Ansprüche des Klägers vorzunehmen.</w:t>
      </w:r>
    </w:p>
    <w:p>
      <w:r>
        <w:rPr>
          <w:b/>
        </w:rPr>
        <w:t>E. 4</w:t>
      </w:r>
    </w:p>
    <w:p>
      <w:r>
        <w:t>Bei Streitigkeiten aus einem Arbeitsverhältnis sind bis zu einem Streit- wert von Fr. 30'000.– keine Kosten zu erheben (Art. 114 lit. c ZPO). Das zweitin- stanzliche Verfahren ist daher kostenlos. Im Übrigen ist die Regelung der Pro- zesskosten des vorliegenden Berufungsverfahrens dem neuen Entscheid des Ar- beitsgerichts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