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LA180010 vom 19. Dezember 2018</w:t>
      </w:r>
    </w:p>
    <w:p>
      <w:r>
        <w:t>ZH Obergericht, 2018-12-19, DE</w:t>
      </w:r>
    </w:p>
    <w:p>
      <w:r>
        <w:rPr>
          <w:b/>
        </w:rPr>
        <w:t xml:space="preserve">Quelle: </w:t>
      </w:r>
      <w:r>
        <w:t>https://mcp.opencaselaw.ch/entscheid/zh_obergericht_LA180010</w:t>
      </w:r>
    </w:p>
    <w:p>
      <w:r>
        <w:t>FR: ZH_OBERGERICHT LA180010 du 19 décembre 2018</w:t>
      </w:r>
    </w:p>
    <w:p>
      <w:r>
        <w:t>IT: ZH_OBERGERICHT LA180010 del 19 dicembre 2018</w:t>
      </w:r>
    </w:p>
    <w:p>
      <w:pPr>
        <w:pStyle w:val="Heading2"/>
      </w:pPr>
      <w:r>
        <w:t>Erwägungen</w:t>
      </w:r>
    </w:p>
    <w:p>
      <w:r>
        <w:rPr>
          <w:b/>
        </w:rPr>
        <w:t>E. 1</w:t>
      </w:r>
    </w:p>
    <w:p>
      <w:r>
        <w:t>Februar 2016 antreten sollen. Die Beklagte annullierte die Anstellung bei der Beklag- ten in London jedoch noch vorher, nachdem im Zuge eines Hintergrund-Checks ein Eintrag im Global Tracking System (GTS) der Beklagten aufgetaucht war (Urk. 1 S. 3; Urk. 14 S. 16). Der Kläger verlangt im vorliegenden Verfahren Auskunft über den Inhalt des Ein- trages im GTS. Die Beklagte wehrt sich im Wesentlichen mit drei Argumenten gegen das Begehren des Klägers: Erstens stellt sie sich auf den Standpunkt, es handle sich gar nicht um eine arbeitsrechtliche Streitigkeit. Zweitens bestreitet sie die Passivlegiti- mation. Dateninhaberin sei heute nicht mehr sie, sondern die A1._____ AG. Und drittens stünden überwiegende Interessen einer Auskunft an den Kläger entgegen.</w:t>
      </w:r>
    </w:p>
    <w:p>
      <w:r>
        <w:rPr>
          <w:b/>
        </w:rPr>
        <w:t>E. 2</w:t>
      </w:r>
    </w:p>
    <w:p>
      <w:r>
        <w:t>Mit Urteil vom 6. Februar 2018 des Einzelgerichts am Arbeitsgericht Zürich,</w:t>
      </w:r>
    </w:p>
    <w:p>
      <w:r>
        <w:rPr>
          <w:b/>
        </w:rPr>
        <w:t>E. 4</w:t>
      </w:r>
    </w:p>
    <w:p>
      <w:r>
        <w:t>Schriftliche Mitteilung an die Parteien sowie an die Vorinstanz,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w:t>
      </w:r>
    </w:p>
    <w:p>
      <w:r>
        <w:t>- 17 - Hinsichtlich des Fristenlaufs gelten die Art. 44 ff. BGG. Zürich, 19. Dezember 2018 Obergericht des Kantons Zürich I. Zivilkammer Die Vorsitzende: Der Gerichtsschreiber: Dr. L. Hunziker Schnider lic. iur. M. Hochuli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