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LA170025 vom 19. Oktober 2017</w:t>
      </w:r>
    </w:p>
    <w:p>
      <w:r>
        <w:t>ZH Obergericht, 2017-10-19, DE</w:t>
      </w:r>
    </w:p>
    <w:p>
      <w:r>
        <w:rPr>
          <w:b/>
        </w:rPr>
        <w:t xml:space="preserve">Quelle: </w:t>
      </w:r>
      <w:r>
        <w:t>https://mcp.opencaselaw.ch/entscheid/zh_obergericht_LA170025</w:t>
      </w:r>
    </w:p>
    <w:p>
      <w:r>
        <w:t>FR: ZH_OBERGERICHT LA170025 du 19 octobre 2017</w:t>
      </w:r>
    </w:p>
    <w:p>
      <w:r>
        <w:t>IT: ZH_OBERGERICHT LA170025 del 19 ottobre 2017</w:t>
      </w:r>
    </w:p>
    <w:p>
      <w:pPr>
        <w:pStyle w:val="Heading2"/>
      </w:pPr>
      <w:r>
        <w:t>Erwägungen</w:t>
      </w:r>
    </w:p>
    <w:p>
      <w:r>
        <w:rPr>
          <w:b/>
        </w:rPr>
        <w:t>E. 1</w:t>
      </w:r>
    </w:p>
    <w:p>
      <w:r>
        <w:t>März 2017 ersuchte die Klägerin 2 und Berufungsbeklagte 2 (fortan Klägerin 2) unter Beilage der Klagebewilligung des Friedensrichteramtes der Stadt Zürich, Kreise …, vom 22. Dezember 2016 um Prozesseintritt mit eingangs aufgeführtem Rechtsbegehren (Urk. 15-18). Mit Verfügung vom 13. März 2017 wurde der Ein- tritt der Klägerin 2 vorgemerkt. Gleichzeitig wurde die Beklagte aufgefordert, in- nert der ihr mit Verfügung vom 7. Februar 2017 angesetzten Frist zum Erstatten der Klageantwort auch die Klage der Klägerin 2 zu beantworten (Urk. 19). Mit Schreiben vom 19. April 2017 teilte der Rechtsvertreter der Beklagten die Nieder- legung des Mandats mit (Urk. 21). Am 4. Mai 2017 setzte die Vorinstanz der Be- klagten eine letzte Frist von 20 Tagen an, um die schriftliche Klageantwort zu er- statten (Urk. 23). Auf Gesuch der Beklagten hin gewährte ihr die Vorinstanz mit Verfügung vom 23. Mai 2017 eine allerletzte, nicht mehr erstreckbare Nachfrist bis 6. Juni 2017, um die Klage zu beantworten (Urk. 25-26). Am 6. Juni 2017 überbrachte die Beklagte ein Gesuch um Durchführung einer Hauptverhandlung (Urk. 29). Am 4. Juli 2017 erging eingangs aufgeführtes Urteil der Vorinstanz (Urk. 30).</w:t>
      </w:r>
    </w:p>
    <w:p>
      <w:r>
        <w:rPr>
          <w:b/>
        </w:rPr>
        <w:t>E. 1.2</w:t>
      </w:r>
    </w:p>
    <w:p>
      <w:r>
        <w:t>Hiergegen erhob die Beklagte mit Schreiben vom 12. September 2017 (gleichentags zur Post gegeben, eingegangen am 13. September 2017) innert Frist Berufung mit den eingangs aufgeführten Anträgen (Urk. 33 S. 2).</w:t>
      </w:r>
    </w:p>
    <w:p>
      <w:r>
        <w:t>- 5 - 2.1 Die Beklagte rügt die unrichtige Rechtsanwendung, welche sie darin erblickt, dass die Vorinstanz zu Unrecht ein Säumnisurteil erlassen habe. Ihr sei- en die Säumnisfolgen nicht korrekt angedroht worden. Gemäss Art. 147 Abs. 3 ZPO weise das Gericht die Partei auf die Säumnisfolgen hin, wobei ein blosser Verweis auf die Gesetzesbestimmung nicht genüge; Säumnisfolgen seien konkret anzudrohen. Die Vorinstanz habe in ihrer Verfügung vom 23. Mai 2017 keinen konkreten Hinweis zu den Säumnisfolgen angebracht, sondern diesbezüglich le- diglich auf die Verfügung vom 4. Mai 2017 verwiesen. Dieser Verweis genüge den Anforderungen von Art. 147 Abs. 3 ZPO nicht. Die Vorinstanz hätte die Säumnis- folgen in der Verfügung vom 23. Mai 2017 nochmals konkret androhen müssen, insbesondere auch deshalb, weil die Beklagte zwischenzeitlich nicht mehr anwalt- lich vertreten gewesen sei. Darüber hinaus hätte die Vorinstanz nach der Eingabe der Beklagten vom 5. Juni 2017, in welcher diese die Forderung bestritten habe, das Verfahren nicht als spruchreif erachten dürfen und die Parteien zur Hauptver- handlung vorladen müssen (Urk. 33 S. 2 f.). 2.2.1 Der Beklagten ist nicht zu folgen: Das Bundesgericht hielt in seinem Urteil vom 11. Februar 2014 fest, dass die Verfahrenspartei gemäss Art. 133 lit. f ZPO und Art. 147 Abs. 2 ZPO auf die Säumnisfolgen hinzuweisen sei; nehme die Partei eine Prozesshandlung dennoch nicht oder nicht rechtzeitig vor, werde sie säumig. Zentral sei dabei, dass ausdrücklich auf die Säumnisfolgen hingewiesen werde, ansonsten die Präklusivwirkung nicht eintreten könne. Demgegenüber ver- lange auch die Schweizerische ZPO nicht, dass eine Partei mehrmals belehrt werde (BGer 5A_812/2013 vom 11. Februar 2014, E. 2.3). Dieser Rechtspre- chung folgte das Kantonsgericht St. Gallen mit seinem Entscheid vom 26. Mai 2016, indem es ausführte, dass eine Wiederholung der Säumnisfolgen in der Ver- fügung betreffend Fristerstreckung nicht erforderlich sei, da die Verfügung, mit welcher die Frist erstmals angesetzt worden sei, nur in Bezug auf den Endzeit- punkt der Frist abgeändert worden, in den übrigen Punkten aber unverändert be- stehen geblieben sei. Nach dem Grundsatz von Treu und Glauben müsse auf Sei- ten des Gerichts nicht damit gerechnet werden, die Partei werde irrtümlich an- nehmen, der Hinweis auf die Säumnisfolgen sei mit der Fristerstreckung hinfällig</w:t>
      </w:r>
    </w:p>
    <w:p>
      <w:r>
        <w:t>- 6 - geworden. Folglich könne sich der Beklagte nicht auf Art. 147 Abs. 3 ZPO berufen (KGer SG, HG.2013.9 vom 26. Mai 2016, E. 3c). 2.2.2 Mit Verfügung vom 7. Februar 2017, mit welcher der Beklagten erst- mals die Frist zum Erstatten der Klageantwort angesetzt worden war, hat die Vor- instanz diese hinsichtlich der Anforderungen an eine Klageantwort ausführlich aufgeklärt (Urk. 13 S. 2). Mit Verfügung 4. Mai 2017 setzte die Vorinstanz der Be- klagten die Nachfrist zum Erstatten der Klageantwort gemäss Art. 223 Abs. 1 ZPO an. Darin klärte sie die Beklagte erneut über ihre Substantiierungspflicht und die Pflicht zum Bezeichnen von Beweismitteln auf. In Bezug auf die Säumnisfolgen hielt sie Folgendes fest (Urk. 23 S. 2): "Im Säumnisfall trifft das Gericht einen Endentscheid, sofern die Angelegenheit spruchreif ist. Andernfalls lädt es zur Hauptverhandlung vor." Dispositivziffer 1 der Verfügung vom 23. Mai 2017, mit welcher letztmalig ei- ne Nachfrist angesetzt wurde, lautet wie folgt (Urk. 26 S. 3): "1. Das Fristerstreckungsgesuch der Beklagten wird grundsätzlich abgewiesen. Es wird der Beklagten eine allerletzte, nicht mehr erstreckbare Nachfrist bis 6. Juni 2017 zur Erstattung der Klageantwort gewährt. Im Übrigen, insbesondere was die Säumnisfolgen betrifft, wird auf die Verfügung vom</w:t>
      </w:r>
    </w:p>
    <w:p>
      <w:r>
        <w:rPr>
          <w:b/>
        </w:rPr>
        <w:t>E. 4</w:t>
      </w:r>
    </w:p>
    <w:p>
      <w:r>
        <w:t>Es werden keine Parteientschädigungen zugesprochen.</w:t>
      </w:r>
    </w:p>
    <w:p>
      <w:r>
        <w:rPr>
          <w:b/>
        </w:rPr>
        <w:t>E. 4.1</w:t>
      </w:r>
    </w:p>
    <w:p>
      <w:r>
        <w:t>Die zweitinstanzliche Gerichtsgebühr ist in Anwendung von § 12 Abs. 1 und 2 GebV OG in Verbindung mit § 4 Abs. 1 und 2 GebV OG auf Fr. 2'150.– festzusetzen. Ausgangsgemäss sind die Kosten des Verfahrens der Beklagten aufzuerlegen (Art. 106 Abs. 1 ZPO).</w:t>
      </w:r>
    </w:p>
    <w:p>
      <w:r>
        <w:rPr>
          <w:b/>
        </w:rPr>
        <w:t>E. 4.2</w:t>
      </w:r>
    </w:p>
    <w:p>
      <w:r>
        <w:t>Den Klägerin ist mangels relevanter Umtriebe im Berufungsverfahren keine Parteientschädigung zuzusprechen (vgl. Art. 95 Abs. 3 ZPO). Es wird erkannt: 1. Die Berufung wird abgewiesen und das Urteil des Arbeitsgerichts Zürich,</w:t>
      </w:r>
    </w:p>
    <w:p>
      <w:r>
        <w:rPr>
          <w:b/>
        </w:rPr>
        <w:t>E. 5</w:t>
      </w:r>
    </w:p>
    <w:p>
      <w:r>
        <w:t>Schriftliche Mitteilung an die Parteien, an die Kläger je unter Beilage des Doppels der Urk. 33,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w:t>
      </w:r>
    </w:p>
    <w:p>
      <w:r>
        <w:t>- 9 -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150'000.–. Die Beschwerde an das Bundesgericht hat keine aufschiebende Wirkung. Hinsichtlich des Fristenlaufs gelten die Art. 44 ff. BGG. Zürich, 19. Oktober 2017 Obergericht des Kantons Zürich I. Zivilkammer Die Vorsitzende: Die Gerichtsschreiberin: Dr. L. Hunziker Schnider lic. iur. K. Montani Schmidt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