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LA150021 vom 26. August 2015</w:t>
      </w:r>
    </w:p>
    <w:p>
      <w:r>
        <w:t>ZH Obergericht, 2015-08-26, DE</w:t>
      </w:r>
    </w:p>
    <w:p>
      <w:r>
        <w:rPr>
          <w:b/>
        </w:rPr>
        <w:t xml:space="preserve">Quelle: </w:t>
      </w:r>
      <w:r>
        <w:t>https://mcp.opencaselaw.ch/entscheid/zh_obergericht_LA150021</w:t>
      </w:r>
    </w:p>
    <w:p>
      <w:r>
        <w:t>FR: ZH_OBERGERICHT LA150021 du 26 août 2015</w:t>
      </w:r>
    </w:p>
    <w:p>
      <w:r>
        <w:t>IT: ZH_OBERGERICHT LA150021 del 26 agosto 2015</w:t>
      </w:r>
    </w:p>
    <w:p>
      <w:pPr>
        <w:pStyle w:val="Heading2"/>
      </w:pPr>
      <w:r>
        <w:t>Erwägungen</w:t>
      </w:r>
    </w:p>
    <w:p>
      <w:r>
        <w:rPr>
          <w:b/>
        </w:rPr>
        <w:t>E. 1</w:t>
      </w:r>
    </w:p>
    <w:p>
      <w:r>
        <w:t>Auf die Berufung des Klägers wird nicht eingetreten.</w:t>
      </w:r>
    </w:p>
    <w:p>
      <w:r>
        <w:rPr>
          <w:b/>
        </w:rPr>
        <w:t>E. 2</w:t>
      </w:r>
    </w:p>
    <w:p>
      <w:r>
        <w:t>Es werden keine Kosten erhoben.</w:t>
      </w:r>
    </w:p>
    <w:p>
      <w:r>
        <w:rPr>
          <w:b/>
        </w:rPr>
        <w:t>E. 3</w:t>
      </w:r>
    </w:p>
    <w:p>
      <w:r>
        <w:t>Es werden keine Parteientschädigungen zugesprochen.</w:t>
      </w:r>
    </w:p>
    <w:p>
      <w:r>
        <w:rPr>
          <w:b/>
        </w:rPr>
        <w:t>E. 4</w:t>
      </w:r>
    </w:p>
    <w:p>
      <w:r>
        <w:t>Schriftliche Mitteilung an die Parteien sowie an die Vorinstanz,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Es handelt sich um eine nicht vermögensrechtliche arbeitsrechtliche Angelegenheit. Die Beschwerde an das Bundesgericht hat keine aufschiebende Wirkung. Hinsichtlich des Fristenlaufs gelten die Art. 44 ff. BGG. Zürich, 26. August 2015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