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LA150009 vom 9. Juni 2015</w:t>
      </w:r>
    </w:p>
    <w:p>
      <w:r>
        <w:t>ZH Obergericht, 2015-06-09, DE</w:t>
      </w:r>
    </w:p>
    <w:p>
      <w:r>
        <w:rPr>
          <w:b/>
        </w:rPr>
        <w:t xml:space="preserve">Quelle: </w:t>
      </w:r>
      <w:r>
        <w:t>https://mcp.opencaselaw.ch/entscheid/zh_obergericht_LA150009</w:t>
      </w:r>
    </w:p>
    <w:p>
      <w:r>
        <w:t>FR: ZH_OBERGERICHT LA150009 du 9 juin 2015</w:t>
      </w:r>
    </w:p>
    <w:p>
      <w:r>
        <w:t>IT: ZH_OBERGERICHT LA150009 del 9 giugno 2015</w:t>
      </w:r>
    </w:p>
    <w:p>
      <w:pPr>
        <w:pStyle w:val="Heading2"/>
      </w:pPr>
      <w:r>
        <w:t>Erwägungen</w:t>
      </w:r>
    </w:p>
    <w:p>
      <w:r>
        <w:rPr>
          <w:b/>
        </w:rPr>
        <w:t>E. 1</w:t>
      </w:r>
    </w:p>
    <w:p>
      <w:r>
        <w:t>Die Beklagte und Berufungsbeklagte (nachfolgend: Beklagte) ist eine inter- national tätige Privatbank mit Sitz in Zürich. Der Kläger und Berufungskläger (nachfolgend: Kläger) war von Januar 2011 bis zur Schliessung der Filiale in C._____ als Filialleiter bei der Beklagten angestellt (Urk. 1 Rz. 3; Urk. 12/2).</w:t>
      </w:r>
    </w:p>
    <w:p>
      <w:r>
        <w:rPr>
          <w:b/>
        </w:rPr>
        <w:t>E. 2</w:t>
      </w:r>
    </w:p>
    <w:p>
      <w:r>
        <w:t>Mit Eingabe vom 9. Dezember 2014 (Urk. 1) und unter Beilage der Klage- bewilligung des Friedensrichteramtes der Stadt Zürich, Kreise 4 und 5, vom 9. September 2014 (Urk. 3) machte der Kläger beim Arbeitsgericht Zürich, Einzel- gericht, die vorliegende Klage anhängig. Er beantragte, es sei der Beklagten unter Androhung der Bestrafung ihrer Organe und Geschäftsleiter gemäss Art. 292 StGB im Widerhandlungsfalle zu verbieten, dem US Department of Justice (DOJ) oder einer anderen Behörde der Vereinigten Staaten von Amerika in irgendeiner Weise direkt oder indirekt den Kläger identifizierende, bezeichnende oder betref- fende Dokumente oder Informationen, namentlich über Art und Umfang der bei der Beklagten ausgeübten Tätigkeiten, der bekleideten Positionen oder der be- treuten Kundenbeziehungen, zu übermitteln, herauszugeben oder sonstwie direkt oder indirekt zugänglich zu machen (Urk. 1 S. 2). Aufgrund der Streitwertangabe (Fr. 15'000.–) wurde das Verfahren dem Einzelgericht zugewiesen. Mit Verfügung vom 15. Dezember 2014 setzte die Präsidentin der 1. Abteilung des Arbeitsge- richts Zürich als Einzelgericht (nachfolgend: Vorinstanz) den Parteien eine Frist an, um zur Frage Stellung zu nehmen, ob der Prozess im vereinfachten oder im ordentlichen Verfahren zu führen sei (Urk. 4). Nach Eingang der Stellungnahmen</w:t>
      </w:r>
    </w:p>
    <w:p>
      <w:r>
        <w:t>- 4 - der Parteien (Urk. 6 und 10) trat die Vorinstanz mit Verfügung vom 26. Januar 2015 nicht auf die Klage ein (Urk. 13 = Urk. 16).</w:t>
      </w:r>
    </w:p>
    <w:p>
      <w:r>
        <w:rPr>
          <w:b/>
        </w:rPr>
        <w:t>E. 2.1</w:t>
      </w:r>
    </w:p>
    <w:p>
      <w:r>
        <w:t>Gemäss Art. 29 Abs. 1 und 2 BV und Art. 6 Ziff. 1 EMRK haben die Parteien eines Gerichtsverfahrens Anspruch auf rechtliches Gehör. Diese Garantie um- fasst auch das Recht, von den beim Gericht eingereichten Stellungnahmen Kenntnis zu erhalten und sich dazu äussern zu können (sog. Replikrecht). Die Wahrnehmung des Replikrechts setzt voraus, dass die fragliche Eingabe der Par- tei zugestellt wird. Das Bundesgericht hat wiederholt festgehalten, dass den Ver- fahrensbeteiligten ein Anspruch auf Zustellung von Vernehmlassungen zusteht, unabhängig davon, ob diese Eingaben neue und erhebliche Gesichtspunkte ent- halten. Das Gericht muss vor Erlass seines Urteils eingegangene Vernehmlas-</w:t>
      </w:r>
    </w:p>
    <w:p>
      <w:r>
        <w:t>- 5 - sungen den Beteiligten zustellen, damit diese sich darüber schlüssig werden kön- nen, ob sie sich dazu äussern wollen oder nicht (BGE 138 I 484 E. 2.1; 137 I 195 E. 2.3.1).</w:t>
      </w:r>
    </w:p>
    <w:p>
      <w:r>
        <w:rPr>
          <w:b/>
        </w:rPr>
        <w:t>E. 2.2</w:t>
      </w:r>
    </w:p>
    <w:p>
      <w:r>
        <w:t>Die Vorinstanz hat es versäumt, dem Kläger die gegnerische Stellungnahme vom 17. Dezember 2014 vor der Eröffnung der Verfügung zuzustellen, sie hat diese erst der angefochtenen Verfügung beigelegt (vgl. Urk. 16 Dispositivziffer 5). Da das Replikrecht alle beim Gericht eingereichten Stellungnahmen umfasst, un- abhängig davon, ob die Eingaben neue und/oder wesentliche Vorbringen enthal- ten und es Sache der Parteien ist zu beurteilen, ob eine Entgegnung erforderlich ist oder nicht (BGE 139 I 189 E. 3.2), kann es letztlich offen bleiben, ob in dieser Stellungnahme Neues vorgebracht wurde. Die Vorinstanz hat jedenfalls auf die Ausführungen der Beklagten in der angefochtenen Verfügung Bezug genommen (vgl. Urk. 16 E. 3, E. 4.2 ). Da die Beklagte in der fraglichen Stellungnahme die Ausführungen des Klägers jedoch nicht bestritt, sondern seine Argumentation vielmehr stützte und da die Vorinstanz das Recht und damit auch Art. 91 Abs. 2 ZPO von Amtes wegen zu beachten hat (vgl. Art. 57 ZPO), kann vorliegend von einer geringfügigen Verletzung des rechtlichen Gehörs ausgegangen werden.</w:t>
      </w:r>
    </w:p>
    <w:p>
      <w:r>
        <w:rPr>
          <w:b/>
        </w:rPr>
        <w:t>E. 2.3</w:t>
      </w:r>
    </w:p>
    <w:p>
      <w:r>
        <w:t>Eine nicht besonders schwerwiegende Verletzung des rechtlichen Gehörs kann geheilt werden, wenn die betroffene Person die Möglichkeit hat, sich vor ei- ner Rechtsmittelinstanz zu äussern, die sowohl den Sachverhalt als auch die Rechtslage frei prüfen kann (vgl. BGE 133 I 201 E. 2.2, 132 V 387 E. 5.1, 127 V 431 E. 3.d.aa). Von einer Rückweisung der Sache an die Vorinstanz ist ferner – selbst bei einer schwerwiegenden Verletzung des rechtlichen Gehörs – abzuse- hen, wenn und soweit die Rückweisung zu einem formalistischen Leerlauf und damit zu unnötigen Verzögerungen führen würde, die mit dem (der Anhörung gleichgestellten) Interesse der betroffenen Partei an einer beförderlichen Beurtei- lung der Sache nicht zu vereinbaren wären (BGE 133 I 201 E. 2.2 mit weiteren Hinweisen).</w:t>
      </w:r>
    </w:p>
    <w:p>
      <w:r>
        <w:rPr>
          <w:b/>
        </w:rPr>
        <w:t>E. 2.4</w:t>
      </w:r>
    </w:p>
    <w:p>
      <w:r>
        <w:t>Die Berufungsinstanz kann den angefochtenen Entscheid gesamthaft – d.h. sowohl hinsichtlich Tat- und Rechtsfragen umfassend – überprüfen und hat somit</w:t>
      </w:r>
    </w:p>
    <w:p>
      <w:r>
        <w:t>- 6 - volle Kognition. Sie kann sämtliche gerügten Mängel frei und unbeschränkt über- prüfen (vgl. Reetz/Theiler, in: Sutter-Somm/Hasenböhler/Leuenberger [Hrsg.], Kommentar ZPO, 2. Auflage 2013, Vorb. zu Art. 308-318 N. 15; 310 N. 6).</w:t>
      </w:r>
    </w:p>
    <w:p>
      <w:r>
        <w:rPr>
          <w:b/>
        </w:rPr>
        <w:t>E. 2.5</w:t>
      </w:r>
    </w:p>
    <w:p>
      <w:r>
        <w:t>Da die Berufungsinstanz zur freien Prüfung aller Fragen befugt ist, die schon der Erstinstanz unterbreitet wurden, würde eine Rückweisung des Verfahrens an die Vorinstanz, welche nach Einholung der Stellungnahme wohl wieder denselben Entscheid fällen würde, zu unnötigen Verzögerungen des Verfahrens führen. Mit Blick auf das Interesse an einer beförderlichen Beurteilung der Sache ist von ei- ner Rückweisung an die Vorinstanz abzusehen. C. Eventualantrag 1. Mit dem Eventualantrag verlangt der Kläger die Aufhebung der angefochte- nen Verfügung sowie die Feststellung, dass das beantragte Verbot einen Streit- wert von Fr. 15'000.– aufweise (Urk. 15 S. 2). 2. Der Kläger klagt gegen seine frühere Arbeitgeberin auf Nichtbekanntgabe von Daten an Dritte. Er beziffert den Streitwert des geltend gemachten Anspruchs auf Fr. 15'000.–, entsprechend einem Bruttomonatslohn (Urk. 1 Rz. 5 und Urk. 15 Rz. 3 und 40). Die Beklagte erklärte sich im vorinstanzlichen Verfahren damit ein- verstanden (Urk. 6 Rz. 6). Die Vorinstanz qualifizierte die Klage hingegen als nicht vermögensrechtliche. Als solche sei bzw. wäre sie im ordentlichen Verfahren zu behandeln. Mangels richtiger Verfahrensart trat die Vorinstanz nicht auf die Klage ein.</w:t>
      </w:r>
    </w:p>
    <w:p>
      <w:r>
        <w:rPr>
          <w:b/>
        </w:rPr>
        <w:t>E. 3</w:t>
      </w:r>
    </w:p>
    <w:p>
      <w:r>
        <w:t>Nach konstanter Praxis sind als nicht vermögensrechtlich Streitigkeiten über Rechte zu betrachten, die ihrer Natur nach nicht in Geld geschätzt werden können (BGE 139 II 404 E. 12.1; 108 II 77 E. 1a). Es muss sich um Rechte handeln, die weder zum Vermögen einer Person gehören noch mit einem vermögensrechtli- chen Rechtsverhältnis eng verbunden sind. Dass die genaue Berechnung des Streitwertes nicht möglich oder dessen Schätzung schwierig ist, genügt nicht, um eine Streitsache als eine solche nicht vermögensrechtlicher Natur erscheinen zu lassen. Massgebend ist, ob mit der Klage letztlich und überwiegend ein wirtschaft-</w:t>
      </w:r>
    </w:p>
    <w:p>
      <w:r>
        <w:t>- 7 - licher Zweck verfolgt wird (BGE 139 II 404 E. 12.1; 118 II 528 E. 2c). Ist dies der Fall, liegt eine vermögensrechtliche Streitigkeit vor (BGE 139 II 404 E. 12.1; 135 III 578 E. 6.3, je mit Hinweisen). Klagen gestützt auf Art. 15 Abs. 1 DSG zum Schutz der Persönlichkeit richten sich nach Art. 28-28l ZGB. Derartige Klagen sind klassischerweise nicht vermögensrechtlicher Natur (BGE 110 II 411 E. 1).</w:t>
      </w:r>
    </w:p>
    <w:p>
      <w:r>
        <w:rPr>
          <w:b/>
        </w:rPr>
        <w:t>E. 4</w:t>
      </w:r>
    </w:p>
    <w:p>
      <w:r>
        <w:t>Der Kläger beruft sich zunächst auf Art. 91 Abs. 2 ZPO, wonach das Gericht nur dann zur Festsetzung des Streitwerts berufen sei, wenn eine Einigung der Parteien darüber nicht zustande komme oder deren Angaben offensichtlich un- richtig seien. Der gesetzlich stipulierte Vorrang der Parteiautonomie in Bezug auf die Bezeichnung des Streitwerts impliziere auch die Frage, ob mit einer Klage überwiegend wirtschaftliche Interessen verfolgt würden oder eben nicht (Urk. 15 Rz. 12 ff.). Der Kläger irrt. Nicht vermögensrechtliche Klagen haben keinen Streit- wert. Sie fallen daher von vornherein nicht unter Art. 91 ff. ZPO (Sterchi, in: Ber- ner Kommentar ZPO, Band I, 2012, Art. 91 ZPO N. 22). Die Frage, ob eine Strei- tigkeit vermögensrechtlicher oder nicht vermögensrechtlicher Natur ist, liegt nicht in der Disposition der Parteien. Etwas anderes sagen auch Diggelmann und die weiteren vom Kläger angerufenen Kommentatoren nicht (vgl. Diggelmann, in: Brunner/Gasser/Schwander [Hrsg.], ZPO Kommentar, 2011, Art. 91 ZPO N. 21). 5.1 Weiter anerkennt der Kläger zwar, dass Klagen aus Persönlichkeitsverlet- zung bislang durch das Bundesgericht als nicht vermögensrechtlich qualifiziert worden seien. Das Bundesgericht habe sich jedoch nie "vertieft mit der Problema- tik auseinandergesetzt". Auch die Lehre habe sich, soweit ersichtlich, dieser The- matik bisher nicht eingehend angenommen, sondern sich mit "lapidaren Verwei- sen" auf die entsprechende Praxis begnügt. Entsprechend sei von Bedeutung, dass sich die II. Zivilkammer des Obergerichts des Kantons Zürich kürzlich im Zu- sammenhang mit der Übermittlung von Personendaten unter dem US Programm mit der Frage befasst habe, ob sich die Auseinandersetzung um derartige Daten den vermögensrechtlichen oder nicht vermögensrechtlichen Streitigkeiten zuord- nen lasse. In seinem Entscheid LF140013 vom 7. März 2014 habe das Oberge- richt festgehalten, dass dort, wo das Motiv für die Verhinderung einer Datenüber- mittlung primär darin bestehe, nicht in Verfahren vor US Behörden hineingezogen</w:t>
      </w:r>
    </w:p>
    <w:p>
      <w:r>
        <w:t>- 8 - zu werden und dadurch geschäftliche Nachteile zu erleiden, nicht der Schutz der Persönlichkeit, sondern ein vermögensrechtliches Interesse verfolgt werde. Auch ein mit diesen Verletzungen einhergehender Reputationsverlust habe das Gericht als vermögensrechtlich beurteilt, da dessen Auswirkungen auf die von der be- troffenen Partei betriebene Anlage- und Vermögensverwaltungstätigkeit nach An- sicht der Richter ebenfalls finanzieller Natur gewesen seien. Das Bundesgericht habe mit Urteil 4A_239/2014 vom 2. Juli 2014 eine gegen diese Auffassung erho- bene Willkürbeschwerde abgewiesen und unter Verweis auf seine bisherige Pra- xis festgehalten, dass für die Beurteilung eines Streitgegenstands als vermögens- oder nicht vermögensrechtlich massgebend sei, welcher Zweck damit letztlich und überwiegend verfolgt werde (Urk. 15 Rz. 26 ff.). 5.2 Die Vorinstanz erwog dazu, dass das Bundesgericht im Entscheid 4A_239/ 2014 dem Umstand Relevanz beigemessen habe, dass es sich bei beiden Partei- en um juristische Personen gehandelt habe. Der Grundsatz, dass Klagen der vor- liegenden Art nicht vermögensrechtlicher Natur seien, sei damit hinsichtlich natür- licher Personen (klägerischerseits) nicht aufgegeben worden (Urk. 14 E. 4.3). Der Kläger hält dies für unzutreffend. Die vorinstanzliche Auffassung finde im Urteil aus Lausanne "keinerlei Grundlage" (Urk. 15 Rz. 30). 5.3 Der fragliche Entscheid des Bundesgericht betraf eine vorsorgliche Mass- nahme. Insofern konnte nur die Verletzung verfassungsmässiger Rechte gerügt werden (Art. 98 BGG). Unter Willkürgesichtspunkten schützte das Bundesgericht namentlich die obergerichtliche Erwägung, bei gewinnorientierten juristischen Personen würden die Vermögensinteressen in der Regel überwiegen. Entgegen dem Kläger wurde dem Umstand, dass es sich bei der Gesuchstellerin um eine juristische Personen handelte, also durchaus Relevanz beigemessen. Ob die Frage für eine natürliche Person gleich zu beantworten gewesen wäre, sagte das Bundesgericht jedoch nicht. 6.1 Die weiteren von der Vorinstanz angeführten Präjudizien hält der Kläger entweder für nicht einschlägig oder unfundiert. So hatte das Bundesgericht im Entscheid 5C.15/2001 vom 16. August 2001 unter Hinweis auf Poudret (COJ II,</w:t>
      </w:r>
    </w:p>
    <w:p>
      <w:r>
        <w:t>- 9 - n. 1.3.1 ad art. 44 OJ) Folgendes ausgeführt: "Le litige, qui divise deux personnes privées, concerne principalement l'application de la loi fédérale sur la protection des données (LPD; RS 235. 1), dont le but est de protéger la personnalité et les droits fondamentaux des personnes faisant l'objet d'un traitement de données (art. 1 LPD). Les actions relatives à cette protection sont régies par les art. 28 à 28l CC (art. 15 al. 1 LPD). Il s'agit ainsi d'une contestation civile portant sur un droit de nature non pécuniaire au sens de l'art. 44 OJ." Nach dem Kläger lässt sich daraus für den vorliegenden Fall nichts ableiten. Zum einen betreffe dieser Entscheid keine Ansprüche aus einem Arbeitsverhältnis. Gegenstand des beur- teilten Rechtsstreits sei vielmehr ein blosser Herausgabeanspruch gestützt auf Art. 8 DSG gewesen. Ein Zusammenhang mit dem oder Auswirkungen auf das Arbeitsverhältnis des Beschwerdeführers seien nicht Gegenstand der vorgebrach- ten oder beurteilten Argumentation gewesen. Ferner seien sich in jenem Verfah- ren zwei natürliche Personen gegenübergestanden, zwischen denen es an einem direkten Rechtsverhältnis gefehlt habe. Auch insofern sei der Fall von der hier in Frage stehenden Konstellation zu unterscheiden. Ziel der Klage sei sodann nicht die Verhinderung einer Datenübermittlung an Dritte und damit die Abwehr von da- raus entstehenden (wirtschaftlichen) Nachteilen gewesen. Im Gegenteil. Der Klä- ger habe die Offenlegung dieser Daten bezweckt, um von deren Inhalt Kenntnis zu nehmen (Urk. 15 Rz. 31). 6.2 Dass sich der Entscheid PF140058 der II. Zivilkammer des Zürcher Oberge- richts vom 16. Dezember 2014 exakt mit der vorliegend aufgeworfenen Frage be- fasste und diese – wie die Vorinstanz – dahingehend beantwortete, dass von ei- ner nicht vermögensrechtlichen Angelegenheit arbeitsrechtlichen Ursprungs aus- zugehen sei, bestreitet der Kläger nicht. Er ist aber der Auffassung, dass sich die- ser Entscheid mit seiner "gänzlich unbegründeten Feststellung" nahtlos in die Reihe der diesbezüglich "unreflektierten Praxis" einreihe und sich mit dem vorer- wähnten Entscheid LF140013 vom 7. März 2014 (sowie den ähnlich gelagerten Entscheiden LF130076 und LF130077 vom 3. März 2014) nicht auseinandersetze (Urk. 15 Rz. 32).</w:t>
      </w:r>
    </w:p>
    <w:p>
      <w:r>
        <w:t>- 10 - 6.3 Letzteres trifft zwar zu, zwischenzeitlich hat sich die II. Zivilkammer jedoch eingehender mit der Frage befasst. Sie verwies dabei auf die herrschende Lehre, wonach Klagen aus Persönlichkeitsverletzung resp. aus Persönlichkeitsansprü- chen aus dem Datenschutzgesetz als nicht vermögensrechtlich einzustufen seien. Daran ändere im von ihr zu beurteilenden Fall, der das Massnahmegesuch einer natürlichen Person gegen ihre frühere Arbeitgeberin betraf, auch der Entscheid 4A_237/2014 des Bundesgerichts vom 2. Juli 2014 nichts, zumal im bundesge- richtlich beurteilten Fall eine juristische Person der Bank gegenüber gestanden sei (OGer ZH LF140075, Urteil vom 3. März 2015, E. II/1). Der Entscheid BGer 4A_237/2014 war ähnlich gelagert wie der bereits diskutierte Entscheid BGer 4A_239/2014. Erneut wurde also dem Umstand Bedeutung beigemessen, dass jene Entscheide eine im Bereich der Anlageberatung und Vermögensverwaltung tätige, gewinnorientierte Aktiengesellschaft betrafen, welche die Übermittlung von sie resp. ihre Partner und Mitarbeiter betreffende Personendaten an das DOJ verhindern wollte.</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arbeitsrechtliche Angelegenheit. Die Beschwerde an das Bundesgericht hat keine aufschiebende Wirkung.</w:t>
      </w:r>
    </w:p>
    <w:p>
      <w:r>
        <w:t>- 14 - Hinsichtlich des Fristenlaufs gelten die Art. 44 ff. BGG. Zürich, 9. Juni 2015 Obergericht des Kantons Zürich I. Zivilkammer Die Vorsitzende: Die Gerichtsschreiberin: Dr. L. Hunziker Schnider lic. iur. P. Knoblauch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