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LA150005 vom 28. Mai 2015</w:t>
      </w:r>
    </w:p>
    <w:p>
      <w:r>
        <w:t>ZH Obergericht, 2015-05-28, DE</w:t>
      </w:r>
    </w:p>
    <w:p>
      <w:r>
        <w:rPr>
          <w:b/>
        </w:rPr>
        <w:t xml:space="preserve">Quelle: </w:t>
      </w:r>
      <w:r>
        <w:t>https://mcp.opencaselaw.ch/entscheid/zh_obergericht_LA150005</w:t>
      </w:r>
    </w:p>
    <w:p>
      <w:r>
        <w:t>FR: ZH_OBERGERICHT LA150005 du 28 mai 2015</w:t>
      </w:r>
    </w:p>
    <w:p>
      <w:r>
        <w:t>IT: ZH_OBERGERICHT LA150005 del 28 maggio 2015</w:t>
      </w:r>
    </w:p>
    <w:p>
      <w:pPr>
        <w:pStyle w:val="Heading2"/>
      </w:pPr>
      <w:r>
        <w:t>Erwägungen</w:t>
      </w:r>
    </w:p>
    <w:p>
      <w:r>
        <w:rPr>
          <w:b/>
        </w:rPr>
        <w:t>E. 1</w:t>
      </w:r>
    </w:p>
    <w:p>
      <w:r>
        <w:t>Die Beklagte und Berufungsbeklagte (nachfolgend: Beklagte) ist eine inter- national tätige Privatbank mit Sitz in Zürich. Der Kläger und Berufungskläger (nachfolgend: Kläger) war vom 1. November 2004 bis zum 31. Dezember 2008 bei der Beklagten als Vizedirektor und Head of Sports &amp; Entertainment Desk in der Abteilung Private Banking angestellt. Er hat das Team Latin America / Spain geleitet (Urk. 1 Rz. 5).</w:t>
      </w:r>
    </w:p>
    <w:p>
      <w:r>
        <w:rPr>
          <w:b/>
        </w:rPr>
        <w:t>E. 2</w:t>
      </w:r>
    </w:p>
    <w:p>
      <w:r>
        <w:t>Mit Eingabe vom 1. Dezember 2014 (Urk. 1) und unter Beilage der Klage- bewilligung des Friedensrichteramtes der Stadt Zürich, Kreise 4 und 5, vom 1. September 2014 (Urk. 3) machte der Kläger beim Arbeitsgericht Zürich die vor- liegende Klage anhängig. Er beantragte, es sei der Beklagten gerichtlich zu ver- bieten, Dokumente sowie elektronisch gespeicherte Daten jeglicher Art an Behör- den oder andere Dritte in den USA zu übermitteln, auf denen der Name des Klä- gers ersichtlich sei oder aufgrund der übrigen Informationen im betreffenden oder in anderen gelieferten Dokumenten erschlossen werden könne (Urk. 1 S. 2). Auf- grund der Streitwertangabe (Fr. 15'000.–) wurde das Verfahren dem Einzelgericht zugewiesen. Mit Verfügung vom 5. Dezember 2014 setzte die Präsidentin der 1. Abteilung des Arbeitsgerichts Zürich als Einzelgericht (nachfolgend: Vorinstanz) der Beklagten eine Frist an, um sich zu den Prozessvoraussetzungen, namentlich zu Verfahrensart, Streitwert und Kostenlosigkeit des Verfahrens, zu äussern</w:t>
      </w:r>
    </w:p>
    <w:p>
      <w:r>
        <w:t>- 4 - (Urk. 6 Dispositivziffer 2 in Verbindung mit E. 2). Nach Eingang der entsprechen- den Stellungnahme der Beklagten (Urk. 8) wurde dieser eine Frist angesetzt, um eine schriftliche Stellungnahme zur Klage einzureichen (Urk. 10). Vor Eingang dieser Stellungnahme trat die Vorinstanz mit Verfügung vom 23. Januar 2015 auf die Klage nicht ein (Urk. 12 = Urk. 15).</w:t>
      </w:r>
    </w:p>
    <w:p>
      <w:r>
        <w:rPr>
          <w:b/>
        </w:rPr>
        <w:t>E. 3</w:t>
      </w:r>
    </w:p>
    <w:p>
      <w:r>
        <w:t>Die zweitinstanzliche Entscheidgebühr wird auf Fr. 2'000.– festgesetzt.</w:t>
      </w:r>
    </w:p>
    <w:p>
      <w:r>
        <w:rPr>
          <w:b/>
        </w:rPr>
        <w:t>E. 3.1</w:t>
      </w:r>
    </w:p>
    <w:p>
      <w:r>
        <w:t>Beide Parteien vertreten den Standpunkt, dass es sich vorliegend um eine vermögensrechtliche Streitigkeit handle. Sie berufen sich dabei je auf einen Ent- scheid des Bundesgerichts vom 2. Juli 2014 (der Kläger auf BGer 4A_235/2014 [Urk. 1 Rz. 3], die Beklagte auf BGer 4A_239/2014 [Urk. 8 Rz. 3 f.]). Diese beiden Entscheide betreffen grundsätzlich den gleichen Sachverhalt sowie die gleichen Parteien. Im erstgenannten Verfahren geht es der Beschwerdeführerin um die Personendaten eines Bankkunden (BGer 4A_235/2014, Urteil vom 2. Juli 2014, E. A.a), im zweitgenannten Verfahren dagegen um ihre eigenen Daten sowie de- ren ihrer Partner und Mitarbeiter (BGer 4A_239/2014, Urteil vom 2. Juli 2014, E. A.a). In beiden Entscheiden hielt das Bundesgericht fest, die Vorinstanz habe, ohne das Willkürverbot zu verletzen, annehmen können, es gehe der Beschwer- deführerin als juristische Person überwiegend um den Schutz ihres Vermögens. Dies zumal selbst ein Reputationsverlust letztlich zu einem Schaden in ihrem An- lageberatungs- und Vermögensverwaltungsgeschäft führen würde. Entgegen der Ansicht der Beschwerdeführerin erweise sich die vorinstanzliche Erwägung, bei gewinnorientierten juristischen Personen würden die Vermögensinteressen in der Regel überwiegen, nicht als willkürlich (BGer 4A_235/2014 sowie 4A_239/2014, Urteile vom 2. Juli 2014, E. 2.4).</w:t>
      </w:r>
    </w:p>
    <w:p>
      <w:r>
        <w:rPr>
          <w:b/>
        </w:rPr>
        <w:t>E. 3.2</w:t>
      </w:r>
    </w:p>
    <w:p>
      <w:r>
        <w:t>Die Vorinstanz hielt dazu fest, das Bundesgericht habe im Entscheid 4A_239/2014 dem Umstand, dass es sich bei beiden Parteien um juristische Per- sonen gehandelt habe, Relevanz beigemessen. Der Grundsatz, wonach Klagen</w:t>
      </w:r>
    </w:p>
    <w:p>
      <w:r>
        <w:t>- 6 - der vorliegenden Art nicht vermögensrechtlicher Natur seien, sei damit hinsichtlich natürlicher Personen (klägerischerseits) nicht aufgegeben worden (Urk. 15 E. 3).</w:t>
      </w:r>
    </w:p>
    <w:p>
      <w:r>
        <w:rPr>
          <w:b/>
        </w:rPr>
        <w:t>E. 3.3</w:t>
      </w:r>
    </w:p>
    <w:p>
      <w:r>
        <w:t>Der Kläger hält dies für unzutreffend. Er anerkennt zwar, dass die geltend gemachten Ansprüche, welche er auf Art. 15 DSG und Art. 28a ZGB stützt, nicht immer vermögensrechtlicher Natur seien. Wenn es jedoch wie vorliegend um Da- tenlieferungen in die USA gehe, wollten die Kläger diese Lieferung nicht deshalb verbieten, weil sie die Kenntnisnahme ihres Namens durch das Department of Justice (DOJ) verhindern wollten. Vielmehr gehe es den Klägern in solchen Ver- fahren darum, die negativen Konsequenzen zu vermeiden, die sich aus dieser Lieferung ergeben könnten. Eine solche Datenlieferung an das DOJ erfolge zu Strafverfolgungszwecken. Dies bedeute, dass die unmittelbare Konsequenz einer solchen ein Strafverfahren sein könne. So habe bereits das Obergericht im vom Bundesgericht bestätigten Entscheid (OGer ZH LF130076, Urteil vom 3. März 2014; BGer 4A_235/2014, Urteil vom 2. Juli 2014) festgehalten, dass es solchen Klägern nicht um den Schutz von Daten quasi als Teil der Persönlichkeit gehe, sondern um die Vermeidung unnötiger Kosten und wirtschaftlicher Nachteile. Der Kläger fügt an, dass diese Rechtsprechung nicht auf juristische Personen zu be- schränken sei. Die vermögensrechtliche Natur eines Anspruchs könne nicht da- von abhängen, ob eine juristische oder eine natürliche Person ihn geltend mache (Urk. 14 Rz. 14 ff.).</w:t>
      </w:r>
    </w:p>
    <w:p>
      <w:r>
        <w:rPr>
          <w:b/>
        </w:rPr>
        <w:t>E. 3.4</w:t>
      </w:r>
    </w:p>
    <w:p>
      <w:r>
        <w:t>Der fragliche Entscheid des Bundesgerichts betraf eine vorsorgliche Mass- nahme. Insofern konnte nur die Verletzung verfassungsmässiger Rechte gerügt werden (Art. 98 BGG). Unter Willkürgesichtspunkten schützte das Bundesgericht namentlich die obergerichtliche Erwägung, bei gewinnorientierten juristischen Personen würden die Vermögensinteressen in der Regel überwiegen. Entgegen dem Kläger wurde dem Umstand, dass es sich bei der Gesuchstellerin um eine juristische Personen handelte, also durchaus Relevanz beigemessen. Ob die Frage für eine natürliche Person gleich zu beantworten gewesen wäre, sagte das Bundesgericht jedoch nicht.</w:t>
      </w:r>
    </w:p>
    <w:p>
      <w:r>
        <w:t>- 7 - 4.1 Der Kläger führt weiter aus, dass sich aus dem von der Vorinstanz zitierten Entscheid PF140058 der II. Zivilkammer des Zürcher Obergerichts zudem für das vorliegende Verfahren nichts entnehmen lasse, das die Argumentation im Ent- scheid LF130076 (vgl. vorstehend E. B.3.3) relativieren würde. In jenem Verfah- ren habe der Kläger offenbar nicht vorgetragen, der von ihm geltend gemachte Anspruch sei vermögensrechtlicher Natur, sondern er habe sich lediglich auf den Schutz seiner Persönlichkeit berufen. Aus diesem Grunde habe sich das Gericht – bei welchem es sich um das Gleiche wie im Verfahren LF130076 gehandelt ha- be – mit dieser Frage nicht vertieft auseinandersetzen müssen (Urk. 14 Rz. 19 f.). 4.2 Es ist richtig, dass sich das Obergericht im Entscheid PF140058 nicht mit der Argumentation des Entscheids LF130076 (sowie den ähnlich gelagerten Ent- scheiden LF130077 vom 3. März 2014 und LF140013 vom 7. März 2014) ausei- nandersetzte. Es geht jedoch vom Grundsatz aus, dass es sich bei Klagen der vorliegenden Art um solche nicht vermögensrechtlicher Art handelt (OGer ZH PF140058, Urteil vom 16. Dezember 2014, E. II.1). Zwischenzeitlich hat sich die II. Zivilkammer eingehender mit dieser Frage befasst. Sie verwies dabei auf die herrschende Lehre, wonach Klagen aus Persönlichkeitsverletzung resp. aus Per- sönlichkeitsansprüchen aus dem Datenschutzgesetz als nicht vermögensrechtlich einzustufen seien. Daran ändere im von ihr zu beurteilenden Fall, der das Mass- nahmegesuch einer natürlichen Person gegen ihre frühere Arbeitgeberin betraf, auch der Entscheid 4A_237/2014 des Bundesgerichts vom 2. Juli 2014 nichts, zumal im bundesgerichtlich beurteilten Fall eine juristische Person der Bank ge- genüber gestanden sei (OGer ZH LF140075, Urteil vom 3. März 2015, E. II.1). Der Entscheid BGer 4A_237/2014 war ähnlich gelagert wie die bereits diskutier- ten Entscheide BGer 4A_235/2014 und 4A_239/2014 (vgl. vorstehend E. B.3.1). Erneut wurde also dem Umstand Bedeutung beigemessen, dass jene Entscheide eine im Bereich der Anlageberatung und Vermögensverwaltung tätige, gewinnori- entierte Aktiengesellschaft betrafen, welche die Übermittlung von sie resp. ihre Partner und Mitarbeiter bzw. einen Bankkunden betreffende Personendaten an das DOJ verhindern wollte.</w:t>
      </w:r>
    </w:p>
    <w:p>
      <w:r>
        <w:t>- 8 - 5.1 Der Kläger wehrt sich in seiner Berufungsschrift gegen die Ansicht der Vor- instanz, wonach im vorliegenden Fall zweifellos in erster Linie ideelle Werte auf dem Spiel stünden. Der vorliegende Prozess werde – so der Kläger – zur Abwen- dung handfester wirtschaftlicher Nachteile geführt. Darüber seien sich die Partei- en im Übrigen einig (Urk. 14 Rz. 18). Weiter habe er dargelegt, dass es Klägern, die sich gegen Datenlieferungen in die USA wehrten, darum gehe, die negativen Konsequenzen zu vermeiden, die sich aus einer entsprechenden Datenlieferung ergeben könnten. Die unmittelbare Konsequenz einer Datenlieferung könne ein Strafverfahren sein (Urk. 14 Rz. 16). 5.2 Die Ausführungen des Klägers zu den ihn persönlich treffenden bzw. die ihm drohenden wirtschaftlichen Nachteile fielen eher gering aus. Diesbezüglich hielt er lediglich im Zusammenhang mit der Streitwertberechnung fest, dass die Kosten einer Strafverteidigung zu berücksichtigen seien (Urk. 1 Rz. 3 sowie Urk. 14 Rz. 27). Ansonsten verweist er auf den bereits besprochenen Obergerichtsent- scheid LF130076 und den darauf gefolgten Bundesgerichtsentscheid BGer 4A_235/2014. Er scheint damit die Ansicht zu vertreten, dass Klagen, welche das Ziel verfolgen, die Bekanntgabe von Mitarbeiterdaten an amerikanische Behörden zu verhindern, grundsätzlich vermögensrechtliche Streitigkeiten darstellen (vgl. Urk. 1 Rz. 3; Urk. 14 Rz. 16). Dem kann mit Verweis auf die vorstehenden Erwä- gungen nicht gefolgt werden. Klagen gestützt auf Art. 15 Abs. 1 DSG zum Schutz der Persönlichkeit richten sich nach Art. 28-28l ZGB und sind klassischerweise und grundsätzlich nicht vermögensrechtlicher Natur. Wie die Vorinstanz bereits korrekt ausführte, besteht vorliegend kein Anlass, von diesem Grundsatz abzuweichen. Die vom Kläger geltend gemachten wirt- schaftlichen Nachteile blieben äusserst vage. Namentlich bleibt unklar, ob solche jemals eintreten werden. Der Kläger war gemäss eigenen Angaben für das Team Lateinamerika / Spanien verantwortlich. Dass er dabei mit US-amerikanischen Kunden in Kontakt gekommen wäre oder gar gegen US-amerikanische Gesetze verstossen hätte, wurde nicht behauptet. Vielmehr hielt der Kläger selber fest, dass die Beklagte seinen Namen in Bezug auf vier Konten offenlegen wolle, wel-</w:t>
      </w:r>
    </w:p>
    <w:p>
      <w:r>
        <w:t>- 9 - che keinen US-Bezug aufweisen würden (Urk. 1 Rz. 12 ff.). Insofern bestehen keine Anhaltspunkte dafür, dass eine Datenlieferung an das DOJ in einer Anklage gegen den Kläger münden könnte. Was allfällige mit einem Strafverfahren in den USA einhergehende Prozesskosten anbelangt, bleibt darauf hinzuweisen, dass der Kläger selber geltend macht (wiederum im Zusammenhang mit der Streitwert- berechnung), dass heute nicht sicher gesagt werden könne, dass die Datenliefe- rung überhaupt solche Kosten nach sich ziehen werde. Das zukünftige Verhalten amerikanischer Behörden abzuschätzen, sei schwierig (Urk. 14 Rz. 27). Der Ein- tritt wirtschaftlicher Nachteile bleibt somit unklar. Im Vordergrund der vorliegenden Klage steht die Verhinderung der Datenlieferung an einen fremden Staat aus ide- ellen Gründen (informative Selbstbestimmung, Vermeidung der Befürchtung in ein Verfahren einbezogen oder gar angeklagt zu werden, Vermeidung von mit einem Verfahren verbundenen Änderungen der Lebensgewohnheiten). Die Streitigkeit darüber ist eine nicht vermögensrechtliche und im ordentlichen Verfahren vor dem Kollegialgericht zu behandeln. Die Ansicht der Vorinstanz erweist sich als zutref- fend. C. Sachliche Zuständigkeit 1. Die Vorinstanz hält im angefochtenen Entscheid fest, die Klägerin habe ex- plizit die Behandlung der Klage im vereinfachten Verfahren beantragt, weshalb ihr der Rechtsmittelweg offenstehen müsse und eine formlose Weiterleitung des Ver- fahrens an das Kollegialgericht ausser Betracht falle. Auf die Klage sei demnach mangels richtiger Verfahrensart nicht einzutreten (Urk. 15 E. 3 f.). 2. Der Kläger führt aus, bewusst darauf verzichtet zu haben, sich zur Verfah- rensart zu äussern. Die Klageschrift erfülle zudem die Anforderungen von Art. 221 ZPO. Eine Feststellung von ihm, den vorliegenden Prozess lediglich im verein- fachten Verfahren führen zu wollen, sei nicht erkennbar. Selbst eine falsche Be- zeichnung der Verfahrensart hätte ihm vorliegend aber nicht geschadet, da das Gericht die Verfahrensart von Amtes wegen feststellen müsse. Wäre der Vorin- stanz unklar geblieben, welche Verfahrensart vom Kläger gemeint gewesen sei,</w:t>
      </w:r>
    </w:p>
    <w:p>
      <w:r>
        <w:t>- 10 - hätte es sein Fragerecht ausüben müssen. Die Praxis der Zürcher Arbeitsgerichte gehe sogar dahin, Zeugnisstreitigkeiten über einem Streitwert von Fr. 30'000.– automatisch im ordentlichen Verfahren zu behandeln, auch wenn dies von den Klägern häufig nicht gewollt sei (Urk. 14 Rz. 23 ff.).</w:t>
      </w:r>
    </w:p>
    <w:p>
      <w:r>
        <w:rPr>
          <w:b/>
        </w:rPr>
        <w:t>E. 4</w:t>
      </w:r>
    </w:p>
    <w:p>
      <w:r>
        <w:t>Die Gerichtskosten des zweitinstanzlichen Verfahrens werden den Parteien je zur Hälfte auferlegt.</w:t>
      </w:r>
    </w:p>
    <w:p>
      <w:r>
        <w:rPr>
          <w:b/>
        </w:rPr>
        <w:t>E. 5</w:t>
      </w:r>
    </w:p>
    <w:p>
      <w:r>
        <w:t>Für beide Instanzen werden keine Parteientschädigungen zugesprochen.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- 14 - Art. 113 ff. (subsidiäre Verfassungsbeschwerde) in Verbindung mit Art. 42 des Bundesgesetzes über das Bundesgericht (BGG). Dies ist ein Endentscheid im Sinne von Art. 90 BGG. Es handelt sich um eine nicht vermögensrechtliche arbeitsrechtliche Angelegenheit. Die Beschwerde an das Bundesgericht hat keine aufschiebende Wirkung. Hinsichtlich des Fristenlaufs gelten die Art. 44 ff. BGG. Zürich, 28. Mai 2015 Obergericht des Kantons Zürich I. Zivilkammer Die Vorsitzende: Die Gerichtsschreiberin: Dr. L. Hunziker Schnider lic. iur. P. Knoblauch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