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LA140034 vom 16. März 2015</w:t>
      </w:r>
    </w:p>
    <w:p>
      <w:r>
        <w:t>ZH Obergericht, 2015-03-16, DE</w:t>
      </w:r>
    </w:p>
    <w:p>
      <w:r>
        <w:rPr>
          <w:b/>
        </w:rPr>
        <w:t xml:space="preserve">Quelle: </w:t>
      </w:r>
      <w:r>
        <w:t>https://mcp.opencaselaw.ch/entscheid/zh_obergericht_LA140034</w:t>
      </w:r>
    </w:p>
    <w:p>
      <w:r>
        <w:t>FR: ZH_OBERGERICHT LA140034 du 16 mars 2015</w:t>
      </w:r>
    </w:p>
    <w:p>
      <w:r>
        <w:t>IT: ZH_OBERGERICHT LA140034 del 16 marzo 2015</w:t>
      </w:r>
    </w:p>
    <w:p>
      <w:pPr>
        <w:pStyle w:val="Heading2"/>
      </w:pPr>
      <w:r>
        <w:t>Erwägungen</w:t>
      </w:r>
    </w:p>
    <w:p>
      <w:r>
        <w:rPr>
          <w:b/>
        </w:rPr>
        <w:t>E. 1</w:t>
      </w:r>
    </w:p>
    <w:p>
      <w:r>
        <w:t>Sachverhalt Der Kläger und Berufungskläger (nachfolgend Kläger) trat am 1. April 2010 als Group Financial Officer (CFO) und Mitglied der erweiterten Geschäftsleitung in die Dienste der Beklagten und Berufungsbeklagten (nachfolgend Beklagte) ein. Auf den 1. August 2011 wurde er zusätzlich zum Chief Risk Officer befördert, womit sich sein Jahresgehalt auf Fr. 350'000.- erhöhte. Ab Herbst 2011 ergaben sich bei der Beklagten zwei Wechsel in der Funktion des CEO. Im Herbst 2011 schied der langjährige CEO E._____ aus, sein interimswei- ser Nachfolger Dr. F._____ verblieb nur wenige Monate in seiner Funktion und wurde im März 2012 durch G._____ ersetzt. Mit diesen Wechseln waren auch verschiedene Abgänge von Kadermitgliedern der Beklagten verbunden. Nach seinem Eintritt suchte der CEO G._____ das Gespräch mit dem Kläger zwecks Abklärung, ob auch mit einem Abgang seinerseits gerechnet werden müsse. Nach eigener Darstellung des Klägers tat er dabei G._____ seine Meinung kund, dass bei der Beklagten grundlegende Veränderungen nötig seien und insbeson- dere auch Verwaltungsrat und Aktionariat den Willen dazu haben müssten. Er ha- be auch seine Enttäuschung darüber geäussert, dass Vorschläge seinerseits für solche Veränderungen in der Vergangenheit verschiedentlich erfolglos gewesen seien. Er kenne G._____ nicht gut genug, um abschätzen zu können, ob dieser die notwendigen Änderungen vornehmen könne. Wenn G._____ es schaffe, die Bank in Bewegung zu setzen, dann werde er sehr gerne für die Bank weiter</w:t>
      </w:r>
    </w:p>
    <w:p>
      <w:r>
        <w:t>- 6 - kämpfen. Dies könne er aber erst in ein paar Wochen sagen, wenn er länger mit G._____ gearbeitet habe. Er erklärte sodann, nicht aktiv nach einer Stelle zu su- chen, zeigte sich aber einem allfälligen Angebot eines Headhunters nicht abge- neigt (Urk. 1 S. 6). Am 12. April 2012 kam es zu einem weiteren Gespräch zwi- schen dem Kläger und G._____, an dem sich G._____ einerseits des Engage- ments des Klägers versichern wollte, andererseits aber auch ganz konkret be- sprochen wurde, wer im Falle seines Abgangs seine Funktionen übernehmen könnte. Als möglicher Nachfolger als CFO wurde H._____, ein früherer CFO, ins Auge gefasst, und der Kläger versprach, diesen deswegen anzufragen. Auch wurden weitere Massnahmen besprochen, die im Falle einer Funktionsübernah- me durch H._____ getroffen werden sollten (Urk. 5/7). Der Kläger hat nach die- sem Gespräch unbestrittenermassen H._____ bezüglich seiner allfälligen Nach- folge tatsächlich auch kontaktiert. Ende Mai 2012 wurde dem Kläger zusätzlich die Verantwortung für das Marketing übertragen. Zwischen dem 6. und 9. Juli 2012 kam es zu einer per EMail geführten Diskussion zwischen dem Kläger und G._____ über die Frage, ob eine nötige Rückstellung von 3,7 Mio. Franken bereits in den Halbjahresabschluss 2012 aufgenommen werden müsse oder bis zum Jahresendabschluss aufgeschoben werden könne. Der Kläger berief sich auf die gesetzlichen Rechnungslegungspflichten und einen entsprechenden Geschäftsleitungsbeschluss, wonach die Rückstellung in den Halbjahresabschluss aufzunehmen sei. G._____ wollte wegen der wirtschaftli- chen Probleme der Beklagten hingegen die Möglichkeit sondiert haben, die Rück- stellung auf Ende Jahr zu verschieben. Im Verlaufe dieser Diskussion beschuldig- te der Kläger G._____, ihn zur Fälschung des Abschlusses und zur Vorspiegelung falscher Tatsachen anhalten zu wollen. Nach weiteren Erläuterungen seitens des Klägers stimmte G._____ der Verbuchung im Halbjahresabschluss zu, verlangte aber eine Entschuldigung für die ehrenrührigen Vorwürfe des Klägers. Diese Ent- schuldigung erfolgte mit EMail vom 7. Juli, 21.36 Uhr, und G._____ nahm diese am 8. Juli, 18.14 Uhr, vorbehaltlos an und erklärte die Angelegenheit damit als er- ledigt (Urk. 5/14+15). Auch der Verwaltungsratspräsident der Beklagten zeigte sich am 8./9. Juli 2012 befriedigt über die Klärung der Angelegenheit und die Bei- legung der persönlichen Differenzen (Urk. 5/16+17).</w:t>
      </w:r>
    </w:p>
    <w:p>
      <w:r>
        <w:t>- 7 - Am 20. Juli 2012 wurde dem Kläger die ordentliche schriftliche Kündigung seines Arbeitsvertrages per Ende Januar 2013 und mit sofortiger Freistellung bei vollem Lohn im Büro des CEO G._____ ausgehändigt. Er musste unmittelbar darauf sein Büro in Anwesenheit des Vizedirektors I._____ räumen. Nach dem Kläger ist ihm anlässlich der mündlichen Kündigung gesagt worden, die Kündigung erfolge aus ökonomischen Gründen, da Kosten gespart werden müssten (Urk. 1 S. 13f). Auf Verlangen des Klägers bestätigte die Beklagte am 20. August 2012 schriftlich den bereits mündlich kommunizierten Kündigungsgrund, nämlich die objektive Not- wendigkeit einer Restrukturierung in der Geschäftsleitung der Bank (Urk. 5/5). Auf einen - im Wortlaut nicht bekannten - Brief des Rechtsvertreters des Klägers vom</w:t>
      </w:r>
    </w:p>
    <w:p>
      <w:r>
        <w:rPr>
          <w:b/>
        </w:rPr>
        <w:t>E. 4</w:t>
      </w:r>
    </w:p>
    <w:p>
      <w:r>
        <w:t>Liegt aufgrund der vorstehenden Erwägungen keine missbräuchliche Kündi- gung vor, ist die Klage auf Ausrichtung einer Entschädigung von 6 Monatslöhnen bzw. von Fr. 183'100.- gemäss Art. 336a OR auch zweitinstanzlich abzuweisen. D Arbeitszeugnis Der Kläger verlangt eine Verbesserung seines Arbeitszeugnisses in dem Sinne, dass ihm ein sehr grosses Engagement, eine volle Identifikation mit seinen Auf- gaben und das volle Vertrauen der Beklagten in ihn attestiert werden müsse, ent- sprechend dem Zwischenzeugnis vom 6. September 2011.</w:t>
      </w:r>
    </w:p>
    <w:p>
      <w:r>
        <w:t>- 20 - Bereits die Vorinstanz hat zutreffend auf die rechtlichen Leitlinien für die Ausstel- lung von Arbeitszeugnissen verwiesen. Danach soll ein Arbeitszeugnis grundsätz- lich wohlwollend sein und das berufliche Fortkommen fördern. Andererseits be- steht ein breites Ermessen des Arbeitgebers beim Wortlaut. Der Arbeitnehmer hat keinen Anspruch auf eine bestimmte Formulierung. Das Zwischenzeugnis vom 6. September 2011, auf das sich der Kläger beruft, wurde noch vom früheren CEO und Vorgesetzten des Klägers, E._____, ausge- stellt (Urk. 5/2). Dieser Beurteilung lag die Mitarbeiterbeurteilung 2010 von E._____ zugrunde, der im vorliegenden Verfahren verschiedentlich als Ziehvater und Mentor des Klägers bezeichnet wurde (Urk. 5/1). Die Mitarbeiterbeurteilung von Anfang 2012 erfolgte durch den temporären CEO F._____ (Urk. 5/3). Vor der Ausstellung des Schlusszeugnisses fand hingegen keine Mitarbeiterbeurteilung durch den neuen CEO G._____ mehr statt. Nun ist aber jedem Vorgesetzten eine eigene Wahrnehmung und subjektive Bewertung der Leistungen seiner Mitarbei- ter zuzugestehen, weil für ihn allenfalls andere Leistungsaspekte oder andere Verhaltensweisen im Vordergrund stehen oder er diese anders bewertet. Mit ei- nem neuen Vorgesetzten kann sich auch die gemeinsame Übereinstimmung hin- sichtlich der Betriebsziele und der Betriebskultur sowie das persönliche Einver- nehmen ändern. In diesem Sinne kann ein neuer Vorgesetzter nicht im Detail auf der Mitarbeiterbeurteilung seiner Vorgänger behaftet werden, so lange diese nicht in einem erheblichen und objektiv nicht nachvollziehbaren Widerspruch zur neuen Beurteilung steht. Aus diesem Grunde wird denn auch häufig beim Weggang ei- nes Vorgesetzten in Erwartung einer positiven Beurteilung noch vorsorglich ein Zwischenzeugnis verlangt; davon hat auch der Kläger vorliegend Gebrauch ge- macht. Wenn vorliegend das Schlusszeugnis nicht mehr vollumfänglich mit den Höchstbewertungen der Beurteilung durch die früheren CEOs übereinstimmt, so bewegt es sich jedoch noch immer in der Bandbreite der früheren Beurteilungen. Die beiden Mitarbeiterbeurteilungen erfassen die hier bewertungsmässig umstrit- tenen Qualifikationen Engagement und Vertrauen ohnehin nur unzureichend; sie beurteilen vorwiegend die Erfüllung der fachlichen Aufgaben und weniger das persönliche Verhalten gegenüber dem Betrieb. Für die Aufgabenerfüllung wurde dem Kläger aber auch im Schlusszeugnis eine sehr gute Qualifikation ausgestellt.</w:t>
      </w:r>
    </w:p>
    <w:p>
      <w:r>
        <w:t>- 21 - Unbestrittenermassen hat sich der Kläger noch im April 2012 mit Kündigungsge- danken befasst, da er mit der Geschäftspolitik der Beklagten nicht mehr einver- standen war, und er hat daraus keinen Hehl gegenüber CEO G._____ gemacht. Dies macht es nachvollziehbar, wenn im Schlusszeugnis das Engagement, die Identifikation und das Vertrauen der Organe der Beklagten in den Kläger in der Wahrnehmung der Beklagten nicht mehr als sehr gross bewertet wurde. Gesamt- haft handelt es sich noch immer um ein gutes und wohlwollendes Zeugnis, das dem Kläger sehr gute fachliche und persönliche Qualifikationen attestiert. Ein er- heblicher und nicht nachvollziehbarer Widerspruch zu den früheren Beurteilun- gen, der einer objektiven Beurteilung und einem Beweisverfahren zugänglich wä- re, ist nicht auszumachen. Damit ist die Klage hinsichtlich der Ausstellung eines verbesserten Arbeitszeug- nisses ebenfalls abzuweisen. E Kosten- und Entschädigungsfolgen Bei diesem Ausgang des Berufungsverfahrens wird der Kläger für beide Instan- zen kosten- und entschädigungspflichtig. Damit ist das erstinstanzliche Kosten- und Entschädigungsdispositiv zu bestätigen. Der massgebliche Streitwert für bei- de Verfahren beträgt Fr. 213'600.-. Die Entscheidgebühr für das Berufungsverfah- ren ist in Anwendung von § 4 i.V.m. § 12 GebV OG auf Fr. 13'300.- festzusetzen, die Parteientschädigung in Anwendung von § 4 Abs. 1 i.V.m. § 13 Abs. 2 Anw- GebV auf Fr. 10'900.- zuzüglich Fr. 872.- (= 8% MWSt).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