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LA130035 vom 31. Januar 2014</w:t>
      </w:r>
    </w:p>
    <w:p>
      <w:r>
        <w:t>ZH Obergericht, 2014-01-31, DE</w:t>
      </w:r>
    </w:p>
    <w:p>
      <w:r>
        <w:rPr>
          <w:b/>
        </w:rPr>
        <w:t xml:space="preserve">Quelle: </w:t>
      </w:r>
      <w:r>
        <w:t>https://mcp.opencaselaw.ch/entscheid/zh_obergericht_LA130035</w:t>
      </w:r>
    </w:p>
    <w:p>
      <w:r>
        <w:t>FR: ZH_OBERGERICHT LA130035 du 31 janvier 2014</w:t>
      </w:r>
    </w:p>
    <w:p>
      <w:r>
        <w:t>IT: ZH_OBERGERICHT LA130035 del 31 gennaio 2014</w:t>
      </w:r>
    </w:p>
    <w:p>
      <w:pPr>
        <w:pStyle w:val="Heading2"/>
      </w:pPr>
      <w:r>
        <w:t>Erwägungen</w:t>
      </w:r>
    </w:p>
    <w:p>
      <w:r>
        <w:rPr>
          <w:b/>
        </w:rPr>
        <w:t>E. 1</w:t>
      </w:r>
    </w:p>
    <w:p>
      <w:r>
        <w:t>c). Ebenso klagte er Fr. 4'833.60 brutto bzw. Fr. 4'560.50 netto nebst Zins auf- grund des erlittenen Kursverlustes beim Verkauf der zweiten Aktientranche des Deferred Award 2010 ein (Rechtsbegehren Ziffer 1 e). Zur Auszahlung seien nicht Fr. 10'000.– gemäss Deferral Plan, sondern nur Fr. 5'166.40 brutto bzw. Fr. 4'915.18 netto gelangt (Urk. 14 S. 9 f.). Er sei nie bereit gewesen, als Investor tätig zu werden, weshalb er das Risiko des Kursverlustes der Aktien nicht selber tragen müsse (Urk. 14 S. 13 f.). Weiter habe die Beklagte auf der Lohnabrech- nung für den Monat Juli 2011 falsche Abzüge gemacht. Die Differenz von Fr. 458.60 netto sei ihm noch zu bezahlen (Rechtsbegehren Ziffer 1 d).</w:t>
      </w:r>
    </w:p>
    <w:p>
      <w:r>
        <w:t>- 7 - 2.2. Für den Verlauf des erstinstanzlichen Verfahrens kann auf die Erwä- gungen der Vorinstanz verwiesen werden (Urk. 44 S. 5f.). Mit Urteil vom 4. Sep- tember 2013 wies die Vorinstanz die Klage vollumfänglich ab.</w:t>
      </w:r>
    </w:p>
    <w:p>
      <w:r>
        <w:rPr>
          <w:b/>
        </w:rPr>
        <w:t>E. 3</w:t>
      </w:r>
    </w:p>
    <w:p>
      <w:r>
        <w:t>Gegen dieses Urteil hat der Kläger fristgerecht Berufung erhoben (Urk. 42/1; Urk. 43). Er hat die eingangs angeführten Anträge gestellt. Die Berufungs- antwort datiert vom 9. Dezember 2013 (Urk. 50). Sie wurde dem Kläger zur Kenntnis gebracht (Urk. 51). Am 17. Januar 2014 hat der Kläger eine "freiwillige Stellungnahme zur Berufungsantwort" eingereicht (Urk. 55). Die Eingabe wurde der Beklagten zugestellt (Prot. S. 4).</w:t>
      </w:r>
    </w:p>
    <w:p>
      <w:r>
        <w:rPr>
          <w:b/>
        </w:rPr>
        <w:t>E. 3.1</w:t>
      </w:r>
    </w:p>
    <w:p>
      <w:r>
        <w:t>Gemäss Kläger ist auf S. 2 und 4 des von den Parteien am 10. bzw. 22. September 2004 unterzeichneten Arbeitsvertrages der Bonus bzw. variable Lohnanteil abhängig von seiner Zielerreichung vertraglich geregelt. Bei einer 100 % Zielerreichung betrage der variable Lohnanteil 25 %; dies sei als "80/20</w:t>
      </w:r>
    </w:p>
    <w:p>
      <w:r>
        <w:t>- 10 - Vertrag" bezeichnet worden. Der Bonusanspruch sei einzig für den Fall, dass der Arbeitnehmer im gekündigten Verhältnis stehe, wegbedungen worden. Entspre- chend sei er davon ausgegangen, der variable Lohnanteil sei in Abhängigkeit von seiner Zielerreichung geschuldet (Urk. 1 S. 3; Urk. 43 S. 5). Die Bonusberech- nung bei einer Zielerreichung unter oder über 100 % sei ihm vom damaligen … [Funktion] der B._____ Bank, dem mittlerweile verstorbenen F._____ sel., erklärt worden. Einen Freiwilligkeitsvorbehalt habe F._____ sel. nicht erwähnt. Die Ziele seien jeweils für das kommende Jahr festgelegt worden. Die prozentuale Zieler- reichung für das vergangene Jahr sei in den Mitarbeiterbeurteilungen analysiert und deklariert worden. Er habe gemäss Mitarbeiterbeurteilung im Jahre 2008 sei- ne Ziele zu 100 % erreicht (Urk. 1 S. 6; Urk. 4/14; Urk. 14 S. 3; Urk. 43 S. 6 und 13). Er habe, so der Kläger weiter, die Zielvorgaben auch in den Folgejahren er- reicht (Urk. 4/21; Urk. 16/25-29). Der "Management Staff Bonus Plan" sei im Ar- beitsvertrag nicht als Vertragsbestandteil angeführt und ihm zum Zeitpunkt des Vertragsabschlusses nicht ausgehändigt worden (Urk. 14 S. 3; Urk. 43 S. 11). Der Kläger bestreitet denn auch, dass der "Management Staff Bonus Plan" im Sep- tember 2004 bereits existiert habe (Urk. 14 S. 5; Urk. 31 S. 8; Urk. 43 S. 11).</w:t>
      </w:r>
    </w:p>
    <w:p>
      <w:r>
        <w:rPr>
          <w:b/>
        </w:rPr>
        <w:t>E. 3.2</w:t>
      </w:r>
    </w:p>
    <w:p>
      <w:r>
        <w:t>Gemäss der Beklagten sieht der Arbeitsvertrag des Klägers die Berech- tigung vor, "an einem allfälligen Management Staff Bonus Scheme" teilzunehmen. Hinsichtlich der Details und der Modalitäten einer allfälligen Bonuszahlung ver- weise der Vertrag auf das entsprechende Reglement, auf den "Management Staff Bonus Plan" (Urk. 4/5). Dem Arbeitsvertrag hätten die Parteien schliesslich im Sinne eines Rechenbeispiels eine Aufstellung der möglichen Gesamtvergütung beigefügt, welche das Bonuspotential ("target bonus") bzw. die potentielle Ziel- vergütung ("target total compensation") illustrieren sollte. Der Kläger sei im mittle- ren Bonus opportunity level eingeteilt gewesen, welches ein Bonuspotential von bis zu 25 % des Grundsalärs vorgesehen habe. Was der Kläger lapidar als "80/20 Vertrag" bezeichne, stelle somit in Tat und Wahrheit und gemäss anwendbarem Bonusreglement lediglich das bonus opportunity level, d.h. das maximale Bonus- potential, dar. Gemäss dem anwendbaren Bonusreglement, auf welches im Ar- beitsvertrag klar verwiesen werde und welches dem Kläger im Zeitpunkt des Ver- tragsabschlusses vorgelegen habe, hätten die Bonuszahlung sowie die Anwen-</w:t>
      </w:r>
    </w:p>
    <w:p>
      <w:r>
        <w:t>- 11 - dung und der Bestand des Bonusreglements in ihrem alleinigen Ermessen ge- standen (Port. Vi S. 6; Urk. 10 S. 4 ff.; Urk. 50 S. 4 ff.). Nicht bestritten wird von der Beklagten, dass sich die Höhe eines allfällig zur Auszahlung gelangenden Bonusses (gestützt auf den "Management Staff Bonus Plan") aufgrund der Errei- chung der dem Kläger jeweils anfangs Jahr gesetzten Leistungsziele berechnet hätte (Prot. Vi S. 8 ff.; Urk. 10 S. 17 ff.; Urk. 50). 4. Die Höhe des dem Kläger auszubezahlenden Bonusses bemisst sich da- mit gemäss der Darstellung beider Parteien danach, ob respektive zu welchem Prozentsatz der Kläger die mit ihm jedes Jahr neu vereinbarten Arbeitsziele er- reicht. Die prozentuale Zielerreichung für das vergangene Jahr wurde in den Mit- arbeiterbeurteilungen analysiert und deklariert. Damit wurde die Höhe des Bonus- ses gemäss der übereinstimmenden Sachdarstellung der Parteien nicht nur vom Erreichen eines bestimmten objektiven Ereignisses (z.B. des Geschäftsergebnis- ses), sondern vielmehr von der subjektiven Einschätzung der persönlichen Ar- beitsleistung des Klägers durch die Beklagte abhängig gemacht. Gemäss der vorab erwähnten bundesgerichtlichen Rechtsprechung steht damit der Arbeitge- berin (zumindest bei der Festsetzung der Höhe des Bonusses) ein gewisses Er- messen zu, womit kein (variabler) Lohnbestandteil, sondern eine Gratifikation vor- liegt.</w:t>
      </w:r>
    </w:p>
    <w:p>
      <w:r>
        <w:rPr>
          <w:b/>
        </w:rPr>
        <w:t>E. 4</w:t>
      </w:r>
    </w:p>
    <w:p>
      <w:r>
        <w:t>Im Rahmen der Berufungsbegründung ist darzulegen, weshalb die in der Berufungsschrift aufgeführten Berufungsanträge gestellt werden und gestützt auf welche Sachverhaltselemente und Rechtsgrundlagen sich diese Berufungsanträ- ge rechtfertigen. Die Begründung eines Rechtsmittels hat zu erklären, weshalb der erstinstanzliche Entscheid in den angefochtenen Punkten unrichtig sein soll. Der Berufungskläger hat sich dementsprechend mit den Entscheidgründen der Vorinstanz auseinanderzusetzen. Die Berufungsinstanz hat sodann die geltend gemachten Punkte zu prüfen. Hingegen ist sie an sich nicht verpflichtet, von sich aus den erstinstanzlichen Entscheid auf alle denkbaren Mängel zu untersuchen, wenn diese von keiner Partei gerügt werden. Es sei denn, der Sachverhalt sei ge- radezu willkürlich festgestellt oder das Recht sei geradezu willkürlich angewandt worden und diese Fehlerhaftigkeiten träten klar zutage (Reetz/Hilber, in: Sutter- Somm/Hasenböhler/Leuenberger, ZPO Kommentar, 2. Auflage, 2013, Art. 311 N 36). Im Ergebnis bedeutet dies, dass die Berufungsbegründung mit den ent- sprechenden Rügen grundsätzlich den Umfang der Prüfungsbefugnis und der Prüfungspflicht der Berufungsinstanz umschreibt. Die Berufungsinstanz kann die gerügten Mängel frei und unbeschränkt überprüfen und sie muss sie auch über- prüfen (Reetz/Hilber, a.a.O., Art. 310 N 5 f.). Dabei ist sie aufgrund der umfas- senden Überprüfungsbefugnis nicht an die mit den Rügen vorgebrachten Argu- mente oder an die Erwägungen der Vorinstanz gebunden. Sie kann die Rügen auch mit abweichenden Erwägungen gutheissen oder abweisen.</w:t>
      </w:r>
    </w:p>
    <w:p>
      <w:r>
        <w:t>- 8 -</w:t>
      </w:r>
    </w:p>
    <w:p>
      <w:r>
        <w:rPr>
          <w:b/>
        </w:rPr>
        <w:t>E. 5</w:t>
      </w:r>
    </w:p>
    <w:p>
      <w:r>
        <w:t>Schriftliche Mitteilung an die Parteien und das Arbeitsgericht Zürich, 4. Ab- teilung, je gegen Empfangsschein. Nach unbenutztem Ablauf der Rechtsmittelfrist gehen die erstinstanzlichen Akten an die Vorinstanz zurück.</w:t>
      </w:r>
    </w:p>
    <w:p>
      <w:r>
        <w:rPr>
          <w:b/>
        </w:rPr>
        <w:t>E. 5.1</w:t>
      </w:r>
    </w:p>
    <w:p>
      <w:r>
        <w:t>Steht nun fest, dass es sich um eine Gratifikation handelt, bleibt zu prü- fen, ob diese eine vollständig freiwillige Leistung der Arbeitgeberin darstellt oder ob auf deren Ausrichtung (bei Erreichung der festgesetzten Leistungsziele) ein Anspruch besteht. Die Beantwortung dieser Frage hängt von den konkreten Ver- einbarungen und Umständen des Einzelfalles ab. So beruft sich die Beklagte da- rauf, es liege eine freiwillige, jederzeit abänderbare Gratifikation vor, auf welche weder im Grundsatz noch in der Höhe oder "Form" ein Anspruch bestehe. Ge- stützt auf den "Management Staff Bonus Plan" habe sie das Berechnungssystem für den Bonus jederzeit abändern können. Sie hätte den Bonus auf Fr. 0.– redu- zieren können. Die Ausrichtung eines Bonusses habe vollständig in ihrem Ermes- sen gestanden (Prot. Vi S. 6; Urk. 10 S. 7 und 15 f.; Urk. 50 S. 11). Der Kläger macht gestützt auf den Arbeitsvertrag einen Anspruch auf einen Bonus in der Hö-</w:t>
      </w:r>
    </w:p>
    <w:p>
      <w:r>
        <w:t>- 12 - he von 25 % des Fixsalärs geltend, sofern er die zu Beginn jedes Jahres verein- barten Zielvorgaben zu 100 % erreicht habe (Urk. 1 S. 3 ff.; Urk. 14 S. 2 ff.; Urk. 43 S. 3 ff.).</w:t>
      </w:r>
    </w:p>
    <w:p>
      <w:r>
        <w:rPr>
          <w:b/>
        </w:rPr>
        <w:t>E. 5.2</w:t>
      </w:r>
    </w:p>
    <w:p>
      <w:r>
        <w:t>Gemäss Art. 18 Abs. 1 OR bestimmt sich der Inhalt eines Vertrages nach dem übereinstimmenden wirklichen Willen der Parteien. Die empirische oder subjektive hat gegenüber der normativen oder objektivierten Vertragsauslegung den Vorrang.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 den durften und mussten (Urteil des Bundesgerichtes 5A_66/2013 vom 29. Au- gust 2013 E. 7.1).</w:t>
      </w:r>
    </w:p>
    <w:p>
      <w:r>
        <w:rPr>
          <w:b/>
        </w:rPr>
        <w:t>E. 5.3</w:t>
      </w:r>
    </w:p>
    <w:p>
      <w:r>
        <w:t>Mit den Parteien ist davon auszugehen, dass vorliegend ihr überein- stimmender wirklicher Wille nicht ermittelt werden kann (Urk. 43 S. 13; Urk. 50 S. 18). Es ist somit eine Auslegung nach dem Vertrauensprinzip gestützt auf den Wortlaut des Arbeitsvertrages sowie die gesamten weiteren Zusammenhänge und Umstände vorzunehmen. Vorab festzuhalten ist, dass der Kläger - soweit bekannt - zumindest ab dem Jahre 1986 ununterbrochen für eine Bank, wenn auch im IT- Bereich, tätig war. Seither hat er gemäss eigenen Angaben jährlich einen Bonus erhalten (Urk. 43 S. 18). Das Thema Bonus und die damit verbundenen Gepflo- genheiten bei den Regelungsmodalitäten sowie die hierzu verwendeten sprachli- chen Wendungen waren somit für ihn im Jahre 2004 kein Neuland mehr. Sodann haben die Diskussionen über die Höhe und vor allem die Freiwilligkeit von als Bo- nus bezeichneten Zahlungen nicht erst mit der jüngsten Finanzkrise ihren Anfang genommen. 5.4.1. Im von den Parteien im September 2004 unterzeichneten Vertrag wird unter der Marginale Bonus Folgendes festgehalten (Urk. 4/4 S. 2): "Sie sind berechtigt, an einem allfälligen 'Management Staff Bonus Scheme' teilzunehmen. Sie finden auf der letzten Seite dieses Ver- trages die Bonusberechnung resp. eine Zusammenfassung der Ge- samtvergütung. Stehen Sie zum Zeitpunkt der Bekanntgabe des Bo- nus in einem gekündigten Arbeitsverhältnis, besteht keinerlei An-</w:t>
      </w:r>
    </w:p>
    <w:p>
      <w:r>
        <w:t>- 13 - spruch auf Bonus. Die Details zum entsprechenden Bonusreglement erhalten Sie in der Beilage." Gemäss dem Wortlaut des ersten Satzes ist der Kläger zur Teilnahme an einem allfälligen Bonusprogramm für die Führungskräfte ("Management Staff Bonus Scheme") berechtigt. Der Kläger selbst gibt an, diese Formulierung sei für den Adressaten so zu verstehen, dass ihm das Recht eingeräumt werde, an einem solchen Programm teilzunehmen, wenn denn ein solches zustande kommen soll- te (Urk. 43 S. 10). Hernach erfolgt der Hinweis, dass sich auf der letzten Seite des Vertrages (Seite 4) die Bonusberechnung resp. eine Zusammenfassung der Ge- samtvergütung befinde. Auf Seite 4 wird folgendes "Beispiel einer Berechnung der Gesamtbezüge, unter der Annahme, dass ein ganzes Arbeitsjahr gearbeitet und die Zielsetzungen voll erreicht wurden", aufgeführt: "Name: A._____ Job family: Business Support Level: 3 Annual total compensation Base salary: 133'404.00 Representation allowance: 7'800.00 Total fixed salary: 80 % 141'204.00 100% target bonus: 20 % 35'310.00 Total target compensation: 100 % 176'514.00" In der explizit als Beispiel bezeichneten Berechnung werden das im Vertrag vorab unter der Marginale Gesamtbezüge aufgeführte Basissalär und die Spesenpau- schale zusammengerechnet (Urk. 4/4 S. 1). Hernach wird basierend auf diesen Gesamtbezügen der 100 % Zielbonus ("target bonus") und die damit angestrebte Zielvergütung ("target compensation") für einen "80/20"-Vertrag berechnet. Das Berechnungsbeispiel und der zweite Satz der vertraglichen Bonusregelung, wel- cher darauf verweist, kann hingegen nicht losgelöst vom ersten Satz, welcher von einem Teilnahmerecht an einem "allfälligen" Bonusprogramm für die Führungs- kräfte spricht, betrachtet werden. Eine vorbehaltlose Zusicherung eines Bonusses in der im Beispiel angeführten prozentualen Höhe bei Erreichen der "fraglichen Zielgrössen" kann entgegen der Ansicht des Klägers (Urk. 43 S. 10) dem Verweis auch unter Einbezug des auf Seite 4 angeführten Beispiels nach Treu und Glau-</w:t>
      </w:r>
    </w:p>
    <w:p>
      <w:r>
        <w:t>- 14 - ben nicht entnommen werden. An diesem Ergebnis ändert der nachfolgende Satz, welcher eine allfällige Bonuszahlung sodann vom Bestehen eines ungekündigten Arbeitsverhältnisses im Zeitpunkt der Bekanntgabe des Bonusses abhängig macht, nichts. Entgegen der Ansicht des Klägers lässt sich hieraus nicht e contra- rio lesen, bei ungekündigtem Arbeitsverhältnis bestehe sehr wohl ein Anspruch des Arbeitnehmers auf einen Bonus (Urk. 43 S. 7). Bei der vom Kläger vertrete- nen Meinung, es handle sich vorliegend um einen variablen Lohnbestandteil, ist diese Klausel gar ungültig, da der Lohnbestandteil im Falle einer Kündigung pro rata temporis geschuldet ist. Vielmehr weist die gewählte Formulierung auf die Freiwilligkeit der Zahlung hin. Gemäss dem letzten Satz der Vertragsklausel erhält der Arbeitnehmer die Details zum entsprechenden "Bonusreglement" in der Bei- lage. Ein Bonusreglement enthält Regelungen über den Bonus. Mithin ist nach Treu und Glauben davon auszugehen, das erwähnte Bonusreglement enthalte Regelungen über das in derselben Klausel erwähnte allfällige Bonusprogramm für Führungskräfte. Im Gesamtzusammenhang betrachtet kommt dem Wort Detail vorliegend sodann die Bedeutung von Einzelheit zu. Der Vertrag selber enthält nur die Grundzüge der Bonusregelung, nämlich das Teilnahmerecht an einem all- fälligen Bonusprogramm, ein Berechnungsbeispiel für den allfälligen Bonus und die Feststellung, dass bei einer Kündigung kein Anspruch auf einen Bonus pro ra- ta temporis besteht. Für die weiteren Einzelheiten wird auf das Bonusreglement verwiesen. Dem Gericht ist aus zahlreichen weiteren Verfahren genügend be- kannt, dass es durchaus den Gepflogenheiten der Bankbranche entspricht, dass der Arbeitsvertrag nur rudimentäre Ausführungen über die Regelung der Gratifika- tion enthält und die oft umfassenden Einzelheiten des Bonusprogrammes, insbe- sondere auch Einschränkungsmöglichkeiten nach freiem Ermessen, in einem Reglement geregelt werden. 5.4.2. Nach Treu und Glauben durfte und musste der Kläger mit seinen Branchenkenntnissen den Wortlaut und die Systematik des Arbeitsvertrages demnach dahingehend verstehen, dass er Anspruch auf die Teilnahme an einem allfälligen Bonusprogramm für die Führungskräfte hat. Auf der Seite 4 wird ein Beispiel für die Berechnung seines Zielbonusses angeführt. Hinsichtlich der Ein- zelheiten über das allfällige Bonusprogramm verweist der Vertrag hingegen auf</w:t>
      </w:r>
    </w:p>
    <w:p>
      <w:r>
        <w:t>- 15 - das Bonusreglement, welches sich in den Beilagen zum Vertrag befinde. Eine vorbehaltlose Zusicherung eines Bonusses in der Höhe von 25 % der Gesamtbe- züge bei einer 100 % Zielerreichung und damit eine vereinbarte Gratifikation in dieser Höhe kann dem Wortlaut der Vertragsklausel und der Systematik des Ver- trages nach Treu und Glauben hingegen nicht entnommen werden. Unerheblich ist bei diesem Auslegungsergebnis, ob das Bonusreglement im Vertrag im An- schluss an die Unterschriften der Parteien respektive deren Vertreter nochmals explizit aufgeführt wird, oder ob, wie vorliegend, nur pauschal "Beilagen" erwähnt werden (Urk. 4/4 S. 3; Urk. 43 S. 10; Urk. 55 S. 3). Sodann spielt es keine Rolle, ob das Reglement als "Management Staff Bonus Scheme", "Management Staff Bonus Plan" oder als Bonusreglement bezeichnet wird (Urk. 43 S. 10). Aus der gewählten Formulierung wird klar ersichtlich, dass sich in der Beilage ein Regle- ment befinden sollte, welches sich mit der Detailregelung des Bonusses befasst.</w:t>
      </w:r>
    </w:p>
    <w:p>
      <w:r>
        <w:rPr>
          <w:b/>
        </w:rPr>
        <w:t>E. 5.5</w:t>
      </w:r>
    </w:p>
    <w:p>
      <w:r>
        <w:t>Zu prüfen bleibt, ob sich aufgrund des Zusammenhanges und der weite- ren Umstände ein anderes Auslegungsergebnis aufdrängt. Der Kläger hat bereits vor Vorinstanz geltend gemacht und beruft sich auch in der Berufung darauf, er habe mit dem damaligen … [Funktion] der Beklagten, F._____ sel., über den neuen Arbeitsvertrag gesprochen. Dieser habe ihm erklärt, wie der Bonus im Ver- hältnis zur prozentualen Zielerreichung berechnet werde. Ein "Management Staff Bonus Plan" oder ein Freiwilligkeitsvorbehalt sei damals nie erwähnt worden (Urk. 14 S. 3; Urk. 43 S. 6 und 13). Den Behauptungen des Klägers, welche bestritten wurden (Prot. Vi S. 9), kann hingegen nicht entnommen werden, F._____ sel. ha- be ihm klar zu verstehen gegeben, der im Berechnungsbeispiel angeführte Bonus von 25 % der Gesamtbezüge sei bei einer Erreichung der zu Beginn jedes Jahres festgesetzten Leistungsziele zu 100 % vorbehaltlos geschuldet. Eine vorbehaltlo- se Zusicherung lässt sich auch den Aussagen des Klägers anlässlich seiner Par- teibefragung vom 23. April 2013 nicht entnehmen (vgl. Urk. 28 S. 3). Sodann kann der branchenkundige Kläger eine solche Zusicherung nach Treu und Glauben nicht daraus ableiten, dass F._____ sel. weder einen "Management Staff Bonus Plan" noch einen Freiwilligkeitsvorbehalt erwähnt habe. Einerseits verweist der vom Kläger unterzeichnete Vertragstext klar darauf, dass die Details im Bonus- reglement geregelt werden. Es hätte am Kläger gelegen, zu überprüfen, was in</w:t>
      </w:r>
    </w:p>
    <w:p>
      <w:r>
        <w:t>- 16 - diesem Reglement steht und ob die darin festgehaltenen Regelungen mit dem angeblich mit F._____ sel. vorab Besprochenen respektive vom Kläger damals Verstandenen übereinstimmen. Es ist denn nur schwer nachvollziehbar, wieso der Kläger das im Zusammenhang mit dem Bonus erwähnte Reglement nicht nach- forderte, sollte er es tatsächlich mit dem Arbeitsvertrag nicht erhalten haben, wenn die Höhe des Bonusses und dessen vorbehaltlose Zusicherung angeblich für ihn einen so entscheidenden Vertragsbestandteil bildeten, dass er davon ab- hängig machte, ob er die bis anhin bei der Bank E._____ AG innegehabte Stelle, trotz eines anderweitigen Jobangebotes, auch nach der Fusion beibehalte (vgl. Prot. Vi S. 16). Andererseits führte der Kläger selbst an, er habe bei der Bank E._____ AG seit dem Jahre 1986 immer einen Bonus erhalten, wobei die Bonus- mitteilungen jeweils mit einem Freiwilligkeitsvorbehalt versehen waren (Urk. 14 S. 8; Urk. 43 S. 18). Es wurde jeweils festgehalten, dass der Bonus eine freiwillige Leistung und kein Salärbestandteil sei. Zudem sei er von der Ertragslage der Bank abhängig und könne deshalb für künftige Geschäftsjahre gekürzt werden oder gänzlich wegfallen (Urk. 16/33-35). Nach der bundesgerichtlichen Recht- sprechung ist ein Vorbehalt der Freiwilligkeit unbehelflich, wenn er als nicht ernst gemeinte, leere Floskel angebracht wird und die Arbeitgeberin durch ihr ganzes Verhalten zeigt, dass sie sich zur Auszahlung einer Gratifikation verpflichtet fühlt. Deshalb kann die Gratifikation auch dann als vereinbart gelten, wenn jahrzehnte- lang eine Gratifikation mit dem Vermerk der Freiwilligkeit ausbezahlt wird, dieser Vorbehalt aber nie in Anspruch genommen wird. Das rechtfertigt sich aber nur, wenn die Arbeitgeberin in dieser Zeit auch Grund dafür gehabt hätte, die Gratifika- tion nicht auszurichten, wie beispielsweise bei einem schlechten Geschäftsgang oder einer schlechten Arbeitsleistung einzelner Mitarbeiter. Vorliegend ist zwar nachgewiesen, dass die Gratifikation seit 1986 immer ausgerichtet worden ist. Der Kläger hat aber in keiner Weise dargetan, warum die Arbeitgeberin in dieser Zeit bei einer freiwilligen Leistung einen Grund gehabt hätte, auf eine Ausrichtung zu verzichten (BGE 129 III 276 E. 2.3 S. 281 f. mit Hinweisen). Entgegen der An- sicht des Klägers stellt somit das nach Treu und Glauben aus dem Wortlaut und der Systematik des Arbeitsvertrages sich ergebende Bonussystem, aus welchem sich kein vertraglicher Anspruch auf eine Gratifikation herleiten lässt, keine Ver-</w:t>
      </w:r>
    </w:p>
    <w:p>
      <w:r>
        <w:t>- 17 - schlechterung gegenüber seiner Stellung bei der Bank E._____ AG dar. Es be- stand daher für die Beklagte auch keine Veranlassung, die Praxis des Freiwillig- keitsvorbehaltes "mittels einer unmissverständlichen Regelung im neuen Arbeits- vertrag" festzuhalten respektive den Kläger explizit auf die angebliche Ver- schlechterung mit Bezug auf die Bonuszahlung hinzuweisen (Urk. 43 S. 9).</w:t>
      </w:r>
    </w:p>
    <w:p>
      <w:r>
        <w:rPr>
          <w:b/>
        </w:rPr>
        <w:t>E. 5.6</w:t>
      </w:r>
    </w:p>
    <w:p>
      <w:r>
        <w:t>Mithin ergibt die Auslegung des Arbeitsvertrages vom 10./22. Septem- ber 2004 nach dem Wortlaut sowie den mit dem Vertragsschluss zusammenhän- genden Umständen ein klares Auslegungsergebnis. Der Grundsatz der Vertrags- auslegung contra stipulatorem kommt nicht zur Anwendung, weshalb die Vo- rinstanz ihn nicht verletzt haben kann (Urk. 43 S. 14 f.). Da keine explizite Zusi- cherung respektive keine vereinbarte Gratifikation bestand, spielt es sodann keine Rolle, dass der Kläger nach der Bekanntgabe des Deferred Award 2009 mündlich bei seinem Vorgesetzten G._____ unter Berufung auf seien Arbeitsvertrag protes- tierte. Die Vorinstanz musste hierzu keinen Beweis abnehmen (Urk. 43 S. 6). 6.1. Gestützt auf das Vertrauensprinzip kann somit nicht davon ausgegan- gen werden, die Beklagte habe dem Kläger im Arbeitsvertrag vorbehaltlos eine Gratifikation in der Höhe von 25 % der Gesamtbezüge bei einer 100 % Zielerrei- chung zugesichert. Entsprechend besass der Kläger für das Jahr 2008 gestützt auf den Arbeitsvertrag trotz einer Zielerreichung zu 100 % keinen Gratifikations- anspruch von Fr. 37'002.– brutto (25 % vom Jahreslohn 2008 von Fr. 148'008.–). Der Arbeitsvertrag bildet damit keine Anspruchsgrundlage für die Zusprechung des Differenzbetrages von Fr. 22'002.– brutto bzw. Fr. 20'516.85 netto zum effek- tiv ausbezahlten Deferred Award 2009 von Fr. 15'000.– brutto. Eine Anspruchs- grundlage ergibt sich entgegen der Ansicht des Klägers (Urk. 43 S. 18) auch nicht aus der vorab angeführten Praxis des Bundesgerichts zum Gratifikationsanspruch trotz Freiwilligkeitsvorbehalt, da der Kläger in keiner Weise dartut, warum die Bank E._____ AG oder die Beklagte einen Grund gehabt hätte, ab dem Jahre 1986 auf eine Ausrichtung des Bonusses zu verzichten (BGE 129 III 276 E. 2.3 S. 281 f. mit Hinweisen). Eine weitere Anspruchsgrundlage ist nicht ersichtlich und wird vom Kläger auch nicht geltend gemacht. Ebenso wenig besteht eine An- spruchsgrundlage für die Zusprechung von Zinsen auf dem eingeklagten Betrag.</w:t>
      </w:r>
    </w:p>
    <w:p>
      <w:r>
        <w:t>- 18 - 6.2. Bei diesem Ergebnis kann die Frage offen bleiben, ob der Kläger den "Management Staff Bonus Plan" erhalten hat, welcher gemäss Arbeitsvertrag dem Kläger als Beilage hätte mitgesandt werden müssen (Urk. 14 S. 3 f.; Urk. 43 S. 8). Denn der Kläger macht im Zusammenhang mit dem gemäss der Beklagten Ver- tragsbestandteil gewordenen Bonusreglement einzig geltend, in den Ziffern 1, 2 i) und ii) sowie 3 i) und ii) des "Management Staff Bonus Plan" werde festgehalten, dass der Bonus auf der Basis der individuellen Zielerreichung und der Zielerrei- chung im Team ausgerichtet werde; dies vorbehaltlos. Erst in Ziffer 4 ii) seien nach all diesen Ausführungen zu einem klaren Anspruch auf den Bonus Vorbehal- te angebracht, welche darin bestünden, dass bei aussergewöhnlichen Umständen die Stellen CEO und das Compensations Comittee den Bonus anpassen könnten und bei unangemessenem Verhalten der Bonus zurückbehalten oder gekürzt werden dürfe. Allerdings sei gemäss Ziffer 4 iii) der Bonus nur dann als freiwillige Leistung ohne vertraglichen Anspruch zu betrachten, soweit dieser nicht in einem individuellen Arbeitsvertrag explizit zugesichert worden sei. Selbst wenn man sich also wie die Beklagte auf den "Management Staff Bonus Plan" abstützen möchte, verweise dieser bezüglich der Frage des Freiwilligkeitsvorbehaltes wiederum auf den individuellen Arbeitsvertrag, in welchem der variable Lohnanteil vorbehaltlos zugesichert worden sei (Urk. 14 S. 6 f.; Urk. 43 S. 17; Urk. 55 S. 5). Es wurde be- reits dargelegt, dass die Vertragsklausel nicht dahingehend ausgelegt werden kann, dass damit dem Kläger vorbehaltlos ein Bonus von 25 % bei einer 100 % Zielerreichung zugesichert worden wäre. Entsprechend findet die Ausnahmerege- lung gemäss Bonusreglement auf den vorliegend zu beurteilenden Arbeitsvertrag so oder so keine Anwendung. Damit sind die Rechtsbegehren Ziffern 1 a) und b) abzuweisen. Ebenso ist die Berufung in diesen Punkten abzuweisen und das vo- rinstanzliche Urteil zu bestätigen. 7.1. Dennoch sei an dieser Stelle angeführt, dass vorliegend nach Treu und Glauben davon auszugehen ist, dass das Bonusreglement Vertragsbestandteil wurde. Ein Bonusreglement wird Vertragsbestandteil, wenn dessen Erfassung vom Vertragskonsens klargestellt ist und der Arbeitnehmer die Gelegenheit hatte, sich in zumutbarer Weise Kenntnis von dessen Inhalt zu verschaffen (Streiff/von Kaenel/Rudolph, Arbeitsvertrag, Praxiskommentar zu Art. 319 - 362 OR, 7. Aufla-</w:t>
      </w:r>
    </w:p>
    <w:p>
      <w:r>
        <w:t>- 19 - ge, Zürich/Basel/Genf 2012, N 2 zu Art. 320 mit Hinweisen). Wie bereits erwähnt, hat F._____ sel. dem Kläger keinen Bonus vorbehaltlos zugesichert. Der Arbeits- vertrag verweist bezüglich der Details zum allfälligen Bonusprogramm auf das Bonusreglement in der Beilage (Urk. 4/4). Entgegen der Ansicht des Klägers han- delt es sich dabei um einen rechtsgenügenden Verweis (Urk. 43 S. 8), auch wenn das Reglement im Arbeitsvertrag unter der Marginale "weitere Bestimmungen" nicht explizit als integrierender Bestandteil aufgeführt wird (Urk. 4/4). Sodann war es dem Kläger, entgegen seinen Behauptungen (Urk. 43 S. 8 und 15), vorliegend möglich, in zumutbarer Weise Kenntnis vom Inhalt des Reglementes zu nehmen, selbst wenn sich dieses, wie von ihm behauptet, nicht in den Beilagen zum Ar- beitsvertrag befand. So wurde dem Kläger ab Erhalt des von den Vertretern der Beklagten am 10. September 2004 unterzeichneten Vertrages eine Frist zu des- sen Retournierung bis zum 30. September 2004 gesetzt (Urk. 4/4). Mithin hatte der Kläger genügend Zeit, um sich bei der Beklagten nach dem Bonusreglement zu erkundigen, sollte es nicht beigelegen haben. An dieser Tatsache ändern auch seine angeblich mangelhaften Englischkenntnisse und die Tatsache, dass das Reglement, soweit bekannt, nur in einer englischen Version vorhanden war, nichts (Urk. 26 S. 10; Urk. 27 S. 8). Dem Kläger stand genügend Zeit zur Verfü- gung, um sich mit seiner Arbeitgeberin in Verbindung zu setzen und sich das Reglement in einer für ihn verständlichen Sprache erklären zu lassen. Die Mög- lichkeit zur Einsicht respektive zur Kenntnisnahme des Inhalts des Reglementes bestand somit nicht erst nach der Vertragsunterzeichnung und der Kläger musste das Reglement auch nicht vor seinem wartenden zukünftigen Vorgesetzten im Detail studieren (Streiff/von Kaenel/Rudolph, a.a.O., N 2 zu Art. 320). Auch aus der für die Globalübernahme von allgemeinen Geschäftsbedingungen Geltung beanspruchenden Ungewöhnlichkeitsregel kann der Kläger nichts zu seinen Gunsten ableiten (Urk. 43 S. 8 f.). Denn soweit nicht durch Formulierungen wie "Lohn" oder "feste Zulage" usw. ein Anschein geschaffen wird, lässt sich nicht be- haupten, die Ausgestaltung eines Bonusses als freiwillige Gratifikation sei für ei- nen seit Jahren in der Bankbrache tätigen Arbeitnehmer ungewöhnlich und damit sei kein Freiwilligkeitsvorbehalt im Bonusreglement zu vermuten (vgl. hierzu Urteil des Bundesgerichtes 4C.6/2003 vom 24. April 2003 E. 3.4). Zwar hat der Kläger</w:t>
      </w:r>
    </w:p>
    <w:p>
      <w:r>
        <w:t>- 20 - bei der Bank E._____ AG seit 1986 ununterbrochen einen Bonus erhalten, doch war auch dieser jeweils mit einem Freiwilligkeitsvorbehalt behaftet. Von der Ein- führung einer neuen Praxis durch die Beklagte, welche mittels einer unmissver- ständlichen Regelung im neuen Arbeitsvertrag hätte erfolgen bzw. auf welche der Kläger explizit hätte hingewiesen werden müssen (Urk. 43 S. 9), ist daher nicht auszugehen. 7.2. Weiter ist in diesem Zusammenhang den Ausführungen der Vorinstanz beizupflichten, dass es sich beim erwähnten Bonusreglement um den im Recht liegenden "Management Staff Bonus Plan" handelt (Urk. 4/5; Urk. 43 S. 16). Der Einwand des Klägers, es sei nicht erstellt, dass der "Management Staff Bonus Plan" im Zeitpunkt der Vertragsunterzeichnung im September 2004 bereits exis- tiert habe (Urk. 43 S. 11), ist nicht überzeugend. Der "Management Staff Bonus Plan" weist auf der letzten Seite links unten den Vermerk 01/05 auf (Urk. 4/5). Er trat per 1. Januar 2005 in Kraft (Urk. 4/5 Ziff. 6). Auch im am 10./22. September 2004 von den Parteien unterzeichneten Arbeitsvertrag wird festgehalten, dass er (der Arbeitsvertrag) per 1. Januar 2005 in Kraft trete (Urk. 4/4). Sodann bestätigte die Zeugin H._____, ehemalige Bereichspersonalleiterin der Beklagten, welche bei der Fusion für die Erstellung aller Arbeitsverträge der neuen Organisation und das Zusammenstellen der Pakete mit den begleitenden Unterlagen zuständig war und zusammen mit I._____, dem vormaligen Personalchef der Beklagten, den Ar- beitsvertrag seitens der Beklagten unterzeichnete (Urk. 26 S. 3), auf Vorhalt des "Management Staff Bonus Plan", dass dies das Reglement sei, das sie bei der Fusion gehabt hätten. Das Reglement sollte im September 2004 schon vorgele- gen haben. Auf die weitergehende Frage, ob das Reglement nur im Intranet zu- gänglich gewesen sei, führte die Zeugin dann aus, dass sie es im Zeitpunkt der Vertragsausstellung beigelegt hätten. Sonst hätten sie den Vertrag nicht so formu- liert (Urk. 27 S. 6). Die Aussagen der Zeugin untermauern somit den aus den Ak- ten gewonnen Eindruck. Übereinstimmend mit der Vorinstanz ist denn auch da- von auszugehen, dass die Aussagen der Zeugin H._____ trotz der Tatsache, dass sie im Vorfeld der Einvernahme von Herrn J._____ von der Beklagten tele- fonisch kontaktiert worden war und er ihr insbesondere sagte, dass es vorliegend um eine Bonusstreitigkeit aus der Zeit der Fusion gehe und um die Frage, ob dem</w:t>
      </w:r>
    </w:p>
    <w:p>
      <w:r>
        <w:t>- 21 - Kläger mit dem Vertrag Bonusreglemente ausgehändigt worden seien oder nicht (Urk. 27 S. 3), als glaubhaft erscheinen. Es kann diesbezüglich auf die zutreffen- den Ausführungen der Vorinstanz verwiesen werden (Urk. 44 S. 17 f.). 7.3. Mit der Vorinstanz ist davon auszugehen, dass die Beklagte gestützt auf den Arbeitsvertrags und den "Management Staff Bonus Plan" berechtigt war, die Boni einseitig abzuändern und damit auch den Deferral Plan einzuführen. Der dem Kläger in Aussicht gestellte Deferred Award 2009 in der Höhe von Fr. 15'000.– wurde ihm im Einklang mit den vesting dates ausbezahlt und wie an- gekündigt mit 3 % verzinst (Urk. 4/13, 4/18 und 11/3), damit liegt kein Verzug vor (Urk. 44 S. 22). Demnach sind die Rechtsbegehren Ziffern 1 a) und b) sowie die Berufung in diesen Punkten auch gestützt auf die unter Ziffer 7 angeführte Be- gründung abzuweisen. 8.1. Die Beklagte sprach dem Kläger für das Jahr 2009 einen Award (be- zeichnet als Deferred Award 2010) im Gegenwert von damals rund Fr. 40'000.– zu, wobei Fr. 20'000.– im Juni 2010 in bar ausbezahlt und die restlichen Fr. 20'000.– in zwei Tranchen à 16'292 respektive 16'291 C._____ Aktien zuge- sprochen wurden. Die vesting dates für die zweite und dritte Rate wurden auf den 18. Juni 2011 und den 18. Juni 2012 terminiert (Urk. 4/17). Gemäss Kläger ge- langten nun hinsichtlich der ersten im Juli 2011 realisierten Aktientranche im ur- sprünglichen Wert von Fr. 10'000.– nur Fr. 9'017.– brutto zur Auszahlung. Es re- sultiere damit ein Kursverlust von Fr. 983.– brutto bzw. Fr. 916.65 netto, welcher von der Beklagten auszugleichen sei, weil er, der Kläger, den variablen Lohnanteil nicht freiwillig in Form von Aktien entgegengenommen habe und daher auch die Kursverluste nicht hinnehmen müsse (Urk. 43 S. 7; Rechtsbegehren Ziffer 1 c). Sinngemäss das Gleiche macht der Kläger auch mit Bezug auf den erlittenen Kursverlust von behaupteten Fr. 4'833.60 brutto bzw. 4'560.50 netto für den Ver- kauf der zweiten Aktientranche im Juli 2012 (Urk. 43 S. 2 Rechtsbegehren Ziff. 1 d); Urk. 44 S. 22) geltend. 8.2. Dem Kläger stand gemäss Arbeitsvertrag kein variabler Lohnbestandteil zu. Es lag im Ermessen der Beklagten, dem Kläger einen Bonus in Form von auf- geschobenen Aktien zuzusprechen. Diesbezüglich kann vorab auf die zutreffende</w:t>
      </w:r>
    </w:p>
    <w:p>
      <w:r>
        <w:t>- 22 - Begründung der Vorinstanz verwiesen werden (Urk. 44 S. 22 f.). Der Kläger macht in der Berufung nunmehr geltend, die vorinstanzliche Begründung sei für die Ablehnung der Begehren unzureichend. Entscheidend sei nicht die Frage der Freiwilligkeit des Bonusses, sondern ob ein Aktienverlust bei Mitarbeiteraktien zu- ungunsten des Arbeitnehmers gehen dürfe (Urk. 43 S. 4). Gemäss dem vom Klä- ger angeführten BGE 130 III 495 dürfen durch "Verträge der Mitarbeiterbeteili- gung" die zwingenden Vorschriften des Arbeitsrechts nicht unterlaufen werden. Da hingegen vorliegend eine freiwillige Gratifikation besteht und kein variabler Lohnbestandteil, steht Art. 323b Abs. 1 und 3 OR der Gewährung des Bonusses in Form eines aufgeschobenen Aktienanteils nicht entgegen (vgl. hierzu BGE 131 III 615 = Pra 95 [2006] Nr. 92). Insoweit der Kläger geltend macht, es sei ihm mit- geteilt worden, dass er bis zur Anweisung betreffend Verkauf oder Behalten der Aktien lediglich eine Anwartschaft auf die Aktien habe, was für ihn bedeutet habe, dass ihm eine Frist zur Wahl zwischen Aktien und Geld gesetzt worden sei (Urk. 14 S. 14; Urk. 43 S. 19), kann dies nicht nachvollzogen werden. Aus dem Deferral Plan 2010 ergibt sich klar, dass ein Anspruch auf die Aktien oder auf den dazumal aus dem Verkauf der Aktien erzielten Erlös ("and receive the proceeds in cash converted back to your local currency") besteht (Urk. 4/20 S. 5). 8.3. Folglich sind mit der Vorinstanz auch die Rechtsbegehren Ziffern 1 c) und e) abzuweisen. Die Berufung ist in diesen Punkten ebenfalls abzuweisen. B) Korrektur Lohnabrechnung Juli 2011 1. Mit dem Rechtsbegehren Ziffer 1 d) fordert der Kläger von der Beklagten Fr. 458.60 netto nebst Zins für seiner Ansicht nach zu viel gemachte Abzüge in der Lohnabrechnung Juli 2011. In der Lohnabrechnung für den Monat Juli 2011 wird unter der Position 1703 "Share Award 2009" ein Betrag von Fr. 9'017.– auf- geführt. Auf diesem Betrag werden Sozialversicherungsabzüge abgeführt. Zum Nettolohn werden neben Repräsentationsspesen von Fr. 650.– unter der Position</w:t>
      </w:r>
    </w:p>
    <w:p>
      <w:r>
        <w:t>- 23 - 3701 "Award 2009 Social Security Due" Fr. 608.65 und unter der Position 3703 "Award 2009 Net Proceed" Fr. 7'949.75 hinzugezählt und anschliessend unter der Position 1495 "Verrechnung Drittleistungen" Fr. 9'017.– abgezogen. Überwiesen wurde dem Kläger mit Valuta vom 22. Juli 2011 ein Betrag von Fr. 18'426.30 (Urk. 4/19; Prot. Vi S. 13). 2. Unbestritten ist, dass die erste Aktientranche des Deferred Award 2009 am vesting date 18. Juni 2011 einen Verkehrswert von Fr. 9'017.– aufwies (Prot. Vi S. 8 und 12; Urk. 10 S. 16 f.). Korrekterweise hat die Vorinstanz festgehalten, dass die Sozialversicherungsabgaben auf der Basis dieses Verkehrswertes zu erheben sind (Urk. 44 S. 24). Diese Regelung galt auch schon im Juli 2011 (vgl. hierzu Wegleitung über den massgebenden Lohn in der AHV, IV und EO des Bundesamtes für Sozialversicherungen BSV [Gültig ab 1. Januar 2014] Rz. 2014 ff.; Kreisschreiben Nr. 37 der eidgenössischen Steuerverwaltung, Be- steuerung von Mitarbeiterbeteiligungen, vom 22. Juli 2013 Ziff. 2.4.ff. und Häni/Streule, Neue Grundlagen für die Besteuerung von Mitarbeiterbeteiligungen - Ausgewählte Themen für die Anwendung in der Praxis, in: Steuer Revue Nr. 10/2013 S. 672 ff.). Dem widerspricht der Kläger in der Berufungsbegründung denn auch nicht (Urk. 43 S. 19). 3. Unbestritten ist sodann, dass die Beklagte betreffend die Sozialabgaben auf Fr. 9'017.– eine dahingehende Fehlbuchung vornahm, dass diese zuvor be- reits in England abgezogen wurden, weshalb die Fr. 608.65 in der Lohnabrech- nung Juli 2011 unter der Position 3701 korrekterweise wieder aufaddiert wurden (Urk. 43 S. 19). Fehl gehen die diesbezüglichen Ausführungen des Klägers, bei diesem Vorgehen würden keine Sozialabgaben auf den Fr. 9'017.– bezahlt (Urk. 43 S. 19). Die Sozialabgaben für den "Share Award 2009" sind in den für das Total von Fr. 21'001.– gemachten Abgaben (Positionen 1000, 1703 und 3131) enthalten. Die Korrekturbuchung unter der Position 3701 erfolgt für unbe- strittenermassen zuvor in England bereits vorgenommene Abzüge. 4. Umstritten ist in diesem Zusammenhang nun aber, dass die Beklagte in der Lohnabrechnung im Weiteren unter der Position 1495 "Verrechnung Drittleis- tungen" Fr. 9'017.– abzieht und im Gegenzug unter der Position 3703 "Award</w:t>
      </w:r>
    </w:p>
    <w:p>
      <w:r>
        <w:t>- 24 - 2009 Net Proceed" nur Fr. 7'949.75 aufaddiert. Gemäss Beklagter handelt es sich bei den Fr. 7'949.75 um den effektiv für den vom Kläger angeordneten Verkauf der zweiten Aktientranche des Deferred Awards 2010 erzielten Erlös (Urk. 10 S. 13). Mit dem gewählten Vorgehen stellte die Beklagte damit sicher, dass sie die Sozialabgaben im Einklang mit den gesetzlichen Vorschriften auf den am ves- ting date bestehenden Verkehrswert bezahlte, sie dem Kläger aber nur den ge- mäss ihren Behauptungen effektiv erzielten Verkaufserlös ausbezahlte. Dieses Vorgehen ist dem Grundsatze nach nicht zu beanstanden. Nun bestreitet der Klä- ger aber, dass der effektiv erzielte Verkaufserlös nur Fr. 7'949.75 betragen habe (Prot. Vi S. 13). Diese Bestreitung hilft ihm hingegen nicht weiter. Die Beweis- sowie die Behauptungslast betreffend den effektiv durch den Verkauf der Aktien erzielten Erlös obliegt dem Kläger. Es hätte an ihm gelegen, konkrete dahinge- hende Behauptungen aufzustellen, wann er den Verkaufsauftrag erteilt hat, wann die Beklagte effektiv verkauft hat, was für einen Erlös sie erzielt hat oder bei kor- rektem Vorgehen hätte erzielen müssen. Diesbezügliche Behauptungen fehlen gänzlich. Auch wurden zu diesem Themenkreis keinerlei Editionsbegehren ge- stellt oder Beweise offeriert, weshalb davon auszugehen ist, der Verkaufserlös habe effektiv nur Fr. 7'949.75 betragen.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- 27 - Dies ist ein Endentscheid im Sinne von Art. 90 BGG. Es handelt sich um eine arbeits- rechtliche Angelegenheit. Der Streitwert beträgt Fr. 28'901.40. Die Beschwerde an das Bundesgericht hat keine aufschiebende Wirkung. Hinsichtlich des Fristenlaufs gel- ten die Art. 44 ff. BGG. Zürich, 31. Januar 2014 Obergericht des Kantons Zürich I. Zivilkammer Die Vorsitzende: Die Gerichtsschreiberin: Dr. L. Hunziker Schnider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