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LA130030 vom 27. Januar 2014</w:t>
      </w:r>
    </w:p>
    <w:p>
      <w:r>
        <w:t>ZH Obergericht, 2014-01-27, DE</w:t>
      </w:r>
    </w:p>
    <w:p>
      <w:r>
        <w:rPr>
          <w:b/>
        </w:rPr>
        <w:t xml:space="preserve">Quelle: </w:t>
      </w:r>
      <w:r>
        <w:t>https://mcp.opencaselaw.ch/entscheid/zh_obergericht_LA130030</w:t>
      </w:r>
    </w:p>
    <w:p>
      <w:r>
        <w:t>FR: ZH_OBERGERICHT LA130030 du 27 janvier 2014</w:t>
      </w:r>
    </w:p>
    <w:p>
      <w:r>
        <w:t>IT: ZH_OBERGERICHT LA130030 del 27 gennaio 2014</w:t>
      </w:r>
    </w:p>
    <w:p>
      <w:pPr>
        <w:pStyle w:val="Heading2"/>
      </w:pPr>
      <w:r>
        <w:t>Erwägungen</w:t>
      </w:r>
    </w:p>
    <w:p>
      <w:r>
        <w:rPr>
          <w:b/>
        </w:rPr>
        <w:t>E. 10</w:t>
      </w:r>
    </w:p>
    <w:p>
      <w:r>
        <w:t>April 2013 angegebenen Bruttoprämien für die jeweilige Versicherungsdauer (25.7.2011 - 29.8.2011: Jahresbruttoprämie Fr. 1'397.70; 29.8.2011 - 20.12.2011: Jahresbruttoprämie Fr. 1'070.20) zuzüglich der jeweiligen Stempelsteuer von 5 % ergibt sich für die erste Versicherungsphase ein Betrag von Fr. 58.70 und für die zweite ein Betrag von Fr. 141.10 (Urk. 25/20). Zuzüglich der ausgewiesenen Mo- torfahrzeugsteuer von Fr. 97.50 (Urk. 25/21) besteht damit eine Forderung von insgesamt Fr. 297.30 zugunsten der Beklagten. In diesem Umfang kann die Be- klagte ihre Gegenforderungen mit der Hauptforderung des Klägers zur Verrech- nung bringen. D. Zusammenfassung Dem Kläger steht eine Gesamtforderung von Fr. 24'819.– brutto zu (Fr. 19'919.– + Fr. 2'625.– + Fr. 2'275.–). Abzüglich 6,25 % Sozialversicherungsbei- träge auf Fr. 22'544.– (auf der Strafzahlung sind keine Sozialversicherungsprä- mien abzuführen; vgl. Streiff/von Kaenel/Rudolph, a.a.O., Art. 337c N. 15.) ergibt dies Fr. 23'410.–. Die Verrechnungsforderung der Beklagten beträgt Fr. 1'297.30 (Fr. 1'000.– + Fr. 297.30). Der Zinsenlauf ist unangefochten. In teilweiser Gut- heissung der Berufung ist daher die Beklagte zu verpflichten, dem Kläger Fr. 22'112.70 netto nebst 5 % Zins seit 9. Dezember 2011 zu bezahlen. Im Mehr- betrag ist die Klage abzuweisen. Im Umfang der zugesprochenen Forderungs- summe (ohne Zins) ist der Rechtsvorschlag in der Betreibung Nr. … des Betrei- bungsamtes C._____ (Zahlungsbefehl vom 6. Dezember 2011) aufzuheben.</w:t>
      </w:r>
    </w:p>
    <w:p>
      <w:r>
        <w:t>- 20 - IV. 1. Für das vorinstanzliche Verfahren betrug der Streitwert Fr. 30'000.–. Nach Korrektur des vorinstanzlichen Urteils steht dem Kläger gegenüber der Beklagten eine Forderung von Fr. 22'112.70 netto zu. Damit unterliegt die Beklagte zu rund vier Fünfteln. Die Höhe der vollen Parteientschädigung von Fr. 5'000.– blieb un- angefochten. Die Beklagte hat dem Kläger damit eine auf drei Fünftel reduzierte Parteientschädigung zu entrichten. Zusätzlich ist antragsgemäss ein Mehrwert- steuerzusatz von 8 % zu vergüten (Urk. 1 S. 2). Die Entschädigung für das vo- rinstanzliche Verfahren beträgt somit total Fr. 3'240.–. 2.1. Im Berufungsverfahren beträgt der Streitwert Fr. 24'571.– (Art. 114 lit. c ZPO). Die Entschädigungsfolgen sind ausgangsgemäss zu regeln (Art 106 Abs. 1 und 2 ZPO). Nach Korrektur des dem Kläger gegenüber der Beklagten zustehen- den Betrags auf netto Fr. 22'112.70 unterliegt die Beklagte beinahe vollumfäng- lich. 2.2. Gemäss § 4 Abs. 1 sowie § 13 Abs. 1 und 2 der Verordnung des Ober- gerichts über die Anwaltsgebühren vom 8. September 2010 beträgt die Entschä- digung beim genannten Streitwert Fr. 2'400.–. Unter Berücksichtigung des Um- standes, dass der Kläger praktisch vollständig obsiegt, rechtfertigt es sich, ihm ei- ne volle Parteientschädigung in der Höhe von Fr. 2'400.– zuzusprechen. Zusätz- lich ist antragsgemäss ein Mehrwertsteuerzusatz von 8 % zu vergüten (Urk. 37 S. 2). Die Entschädigung für das Berufungsverfahren beträgt somit total Fr. 2'592.–.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