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LA130005 vom 12. April 2013</w:t>
      </w:r>
    </w:p>
    <w:p>
      <w:r>
        <w:t>ZH Obergericht, 2013-04-12, DE</w:t>
      </w:r>
    </w:p>
    <w:p>
      <w:r>
        <w:rPr>
          <w:b/>
        </w:rPr>
        <w:t xml:space="preserve">Quelle: </w:t>
      </w:r>
      <w:r>
        <w:t>https://mcp.opencaselaw.ch/entscheid/zh_obergericht_LA130005</w:t>
      </w:r>
    </w:p>
    <w:p>
      <w:r>
        <w:t>FR: ZH_OBERGERICHT LA130005 du 12 avril 2013</w:t>
      </w:r>
    </w:p>
    <w:p>
      <w:r>
        <w:t>IT: ZH_OBERGERICHT LA130005 del 12 aprile 2013</w:t>
      </w:r>
    </w:p>
    <w:p>
      <w:pPr>
        <w:pStyle w:val="Heading2"/>
      </w:pPr>
      <w:r>
        <w:t>Erwägungen</w:t>
      </w:r>
    </w:p>
    <w:p>
      <w:r>
        <w:rPr>
          <w:b/>
        </w:rPr>
        <w:t>E. 1</w:t>
      </w:r>
    </w:p>
    <w:p>
      <w:r>
        <w:t>Die Klägerin hat ihre Klage am 4. Oktober 2011 bei der Vorinstanz an- hängig gemacht (Urk. 1). Für den weiteren Verfahrensverlauf vor Vorinstanz kann auf deren Ausführungen im angefochtenen Urteil verwiesen werden (Urk. 63 S. 3 f.). Die Vorinstanz erliess nach Durchführung eines Beweisverfahrens am 18. Dezember 2012 die eingangs zitierten Entscheide und trat mit separater Ver- fügung auf die Widerklage im Umfang von Fr. 40'948.75 nicht ein. Diese Verfü- gung ist nicht Gegenstand des Berufungsverfahrens. Die Klägerin hat mit Eingabe vom 6. Februar 2013 rechtzeitig gegen das Urteil und die Verfügung, mit der auf</w:t>
      </w:r>
    </w:p>
    <w:p>
      <w:r>
        <w:t>- 5 - ihre Feststellungsklage nicht eingetreten wurde, Berufung eingereicht (Urk. 62). Da diese offensichtlich unbegründet ist, wurde keine Berufungsantwort eingeholt (Art. 312 Abs. 1 ZPO).</w:t>
      </w:r>
    </w:p>
    <w:p>
      <w:r>
        <w:rPr>
          <w:b/>
        </w:rPr>
        <w:t>E. 2</w:t>
      </w:r>
    </w:p>
    <w:p>
      <w:r>
        <w:t>Die Einlegung der Berufung hemmt den Eintritt der Rechtskraft nur im Umfang der Anträge (Art. 315 Abs. 1 ZPO). Die nicht angefochtenen Teile des Ur- teils werden demnach von Bundesrechts wegen formell rechtskräftig und voll- streckbar. Dies ist bezüglich Dispositiv Ziffer 2 des Urteils (Abweisung der Wider- klage in der Höhe von Fr. 13'500.–) und Dispositiv Ziffer 2 der Verfügung (Ab- schreibung der Widerklage in der Höhe von Fr. 14'368.75) vorzumerken.</w:t>
      </w:r>
    </w:p>
    <w:p>
      <w:r>
        <w:rPr>
          <w:b/>
        </w:rPr>
        <w:t>E. 3</w:t>
      </w:r>
    </w:p>
    <w:p>
      <w:r>
        <w:t>Das vorliegende Verfahren untersteht der gemässigten (sozialen) Unter- suchungsmaxime (Art. 247 Abs. 2 lit. b Ziff. 2 ZPO; BSK ZPO-Mazan, Art. 247 N 4). Zu deren Bedeutung hat sich die Vorinstanz zutreffend geäussert (Urk. 63 S. 8 f.).</w:t>
      </w:r>
    </w:p>
    <w:p>
      <w:r>
        <w:rPr>
          <w:b/>
        </w:rPr>
        <w:t>E. 4</w:t>
      </w:r>
    </w:p>
    <w:p>
      <w:r>
        <w:t>In der Berufungsschrift sind die Behauptungen bestimmt und vollständig aufzustellen. Zudem muss sie – im Gegensatz zur Klageschrift – nicht nur eine tatsächliche, sondern auch eine rechtliche Begründung enthalten. Die Pflicht zur Begründung der Berufung gilt auch in Verfahren, in welchen die Untersuchungs- maxime gilt (Reetz/Theiler, in: ZPO-Komm. Sutter-Somm et al., 2. A., Art. 311 N 36 f.). Der Berufungskläger hat mittels klarer und sauberer Verweisungen auf die Ausführungen vor der Vorinstanz zu zeigen, wo er die massgebenden Be- hauptungen, Erklärungen, Bestreitungen und Einreden erhoben hat. Es ist näm- lich nicht Sache der Rechtsmittelinstanz, die Akten und die Rechtsschriften der Vorinstanz zu durchforsten, um festzustellen, was welche Partei wo ausgeführt hat. Damit ist gesagt, dass die Berufungsschrift weder eine pauschale Verwei- sung auf die bei der Vorinstanz eingereichten Rechtsschriften noch eine neuerli- che Darstellung der Sach- oder Rechtslage enthalten darf, welche nicht darauf eingeht, was vor der Vorinstanz vorgebracht worden ist (Ivo W. Hungerbühler, DIKE-Komm-ZPO, Art. 311 N 36 ff.). Zwar prüft die Berufungsinstanz nicht nur die geltend gemachten Rügen (Rügeprinzip). Der Berufungskläger hat sich aber mit der Begründung des erstinstanzlichen Entscheids auseinanderzusetzen; das Ge- richt muss den angefochtenen Entscheid nicht von sich aus auf Mängel untersu-</w:t>
      </w:r>
    </w:p>
    <w:p>
      <w:r>
        <w:t>- 6 - chen, es sei denn, der Sachverhalt sei geradezu willkürlich festgestellt worden oder das Recht sei geradezu willkürlich angewandt worden (Reetz/Theiler, a.a.O., N 36). Aufgrund der umfassenden Überprüfungsbefugnis ist die Berufungsinstanz nicht an die mit den Rügen vorgebrachten Argumente oder an die Erwägungen der Vorinstanz gebunden, sie kann die Rügen auch mit abweichenden Erwägun- gen gutheissen oder abweisen (vgl. Reetz/Theiler, a.a.O., Art. 310 N 6). Im Berufungsverfahren können neue Tatsachen nur noch berücksichtigt werden, wenn diese ohne Verzug vorgebracht wurden und wenn sie trotz zumut- barer Sorgfalt nicht schon vor erster Instanz vorgebracht werden konnten (Art. 317 Abs. 1 ZPO). Auch in den Verfahren, die der Untersuchungsmaxime unter- stehen, ist deshalb Art. 317 Abs. 1 ZPO zu beachten (BGE 138 III 626 f. E 2.2). Allerdings können die Parteien vorbringen, in der ersten Instanz sei die Untersu- chungsmaxime verletzt worden, indem gewisse Fakten unberücksichtigt geblie- ben seien. Falls dies zutrifft, sind die entsprechenden Vorbringen zu berücksichti- gen (F. Hohl, Procédure civile, Tome II, Deuxième Edition, Rz. 2414). Im Ergebnis bedeutet dies, dass echte und – unter der vorgenannten Prämisse (Verletzung der Untersuchungsmaxime) – unechte Noven vorgebracht werden können, aller- dings sind die unechten Noven im Sinne von Art. 317 Abs. 1 lit. a ZPO ohne Ver- zug, d.h. mit der Berufungsbegründung bzw. mit der Berufungsantwort vorzubrin- gen. IV. 1. a) Die Vorinstanz erwog, es sei unbestritten, dass zwischen den Parteien ein Arbeitsverhältnis bestanden und die Klägerin seit Anfang Mai 2011 nicht mehr gearbeitet habe (Urk. 63 S. 8). Die Parteistandpunkte wiedergebend, schrieb die Vorinstanz, die Klägerin habe geltend gemacht, dass D._____ als Geschäftsfüh- rer der Beklagten das Schloss der Geschäftsräumlichkeiten habe auswechseln lassen und so der Klägerin den Zugang zu ihrem Arbeitsplatz verweigert habe. Die Klägerin habe diesen Umstand in einem Schreiben vom 6. Mai 2011 an D._____ festgehalten und weiterhin ihre Arbeitsleistung anerboten. Anstatt die</w:t>
      </w:r>
    </w:p>
    <w:p>
      <w:r>
        <w:t>- 7 - angebotene Arbeitsleistung anzunehmen, habe D._____ Mitte Juli 2011 das Büro und damit den Arbeitsplatz der Klägerin räumen lassen. Die Beklagte habe sich auf den Standpunkt gestellt, dass die Klägerin ab Mai 2011 keinen Anspruch mehr auf Lohnzahlung habe, da sie das Arbeitsverhältnis selber aufgelöst bzw. zumindest ab Anfang Mai 2011 ihre Arbeitsleistung verweigert habe. Trotz eines grossen Arbeitsvolumens im April 2011 habe die Klägerin vom 20. April 2011 bis</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21'500.–. Die Beschwerde an das Bundesgericht hat keine aufschiebende Wirkung. Hinsichtlich des Fristenlaufs gelten die Art. 44 ff. BGG.</w:t>
      </w:r>
    </w:p>
    <w:p>
      <w:r>
        <w:t>- 16 - Zürich, 12. April 2013 Obergericht des Kantons Zürich I. Zivilkammer Der Präsident: Der Gerichtsschreiber: Dr. R. Klopfer lic. iur. G. Kenny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