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LA110020 vom 5. Juli 2012</w:t>
      </w:r>
    </w:p>
    <w:p>
      <w:r>
        <w:t>ZH Obergericht, 2012-07-05, DE</w:t>
      </w:r>
    </w:p>
    <w:p>
      <w:r>
        <w:rPr>
          <w:b/>
        </w:rPr>
        <w:t xml:space="preserve">Quelle: </w:t>
      </w:r>
      <w:r>
        <w:t>https://mcp.opencaselaw.ch/entscheid/zh_obergericht_LA110020</w:t>
      </w:r>
    </w:p>
    <w:p>
      <w:r>
        <w:t>FR: ZH_OBERGERICHT LA110020 du 5 juillet 2012</w:t>
      </w:r>
    </w:p>
    <w:p>
      <w:r>
        <w:t>IT: ZH_OBERGERICHT LA110020 del 5 luglio 2012</w:t>
      </w:r>
    </w:p>
    <w:p>
      <w:pPr>
        <w:pStyle w:val="Heading2"/>
      </w:pPr>
      <w:r>
        <w:t>Erwägungen</w:t>
      </w:r>
    </w:p>
    <w:p>
      <w:r>
        <w:rPr>
          <w:b/>
        </w:rPr>
        <w:t>E. 1</w:t>
      </w:r>
    </w:p>
    <w:p>
      <w:r>
        <w:t>a) Die Beklagte hat den erstinstanzlichen Entscheid, insoweit als das Verfahren bezüglich der Klagebegehren Ziff. 2 und Ziff. 3 mit Beschluss vom 9. Februar 2011 als durch Anerkennung erledigt abgeschrieben wurde (Urk. 18 S. 10, Disp. Ziff. 1), nicht angefochten. Dieser Entscheid ist damit nicht weiter zu prüfen. b) Die Klägerin hat ihrerseits das erstinstanzliche Urteil vom 9. Februar 2011, insoweit als ihre Klage auf Zahlung einer Entschädigung im Sinne von Art. 337c Abs. 3 OR im Fr. 8'195.60 übersteigenden Umfang sinngemäss abge- wiesen wurde (vgl. dazu Urk. 18 S. 9), nicht angefochten. Damit ist im Berufungs- verfahren nurmehr über die zugesprochene Entschädigung im Umfang von zwei Monatslöhnen zu befinden.</w:t>
      </w:r>
    </w:p>
    <w:p>
      <w:r>
        <w:rPr>
          <w:b/>
        </w:rPr>
        <w:t>E. 2</w:t>
      </w:r>
    </w:p>
    <w:p>
      <w:r>
        <w:t>Das angefochtene Urteil datiert vom 9. Februar 2011 (Urk. 18). Damit ist auf das Berufungsverfahren die seit dem 1. Januar 2011 in Kraft stehende Schweizerische Zivilprozessordnung anzuwenden (Art. 405 Abs. 1 ZPO). Mit der Berufung können unrichtige Rechtsanwendung und unrichtige Feststellung des Sachverhalts geltend gemacht werden (Art. 310 ZPO). Da der angefochtene Ent- scheid indes noch unter der Anwendung des kantonalzürcherischen Zivilprozess- rechtes (ZPO/ZH) erging, ist der Entscheid bzw. das Verfahren vor erster Instanz nach dem bisherigen kantonalen Prozessrecht zu überprüfen. Aufgrund des erst- instanzlichen Streitwertes von Fr. 27'619.15 unterstand das Verfahren vor Vo-</w:t>
      </w:r>
    </w:p>
    <w:p>
      <w:r>
        <w:t>- 6 - rinstanz den Bestimmungen des einfachen und raschen Verfahrens (§ 53 Abs. 2 Ziff. 3 ZPO/ZH).</w:t>
      </w:r>
    </w:p>
    <w:p>
      <w:r>
        <w:rPr>
          <w:b/>
        </w:rPr>
        <w:t>E. 3</w:t>
      </w:r>
    </w:p>
    <w:p>
      <w:r>
        <w:t>Gemäss neuer ZPO ist die Berufung innert 30 Tagen seit Zustellung des begründeten Entscheides begründet einzureichen (Art. 311 Abs. 1 ZPO) und in- nert 30 Tagen zu beantworten (Art. 312 Abs. 2 ZPO). Gemäss Art. 316 ZPO kann die Rechtsmittelinstanz sodann eine Verhandlung durchführen, aufgrund der Ak- ten entscheiden (Art. 316 Abs. 1 ZPO) oder einen zweiten Schriftenwechsel an- ordnen (Art. 316 Abs. 2 ZPO). Diese Regelung stellt es ins Ermessen der Rechtsmittelinstanz, das für den konkreten Fall Geeignete vorzukehren (Peter Volkart, DIKE-Komm-ZPO, Art. 316 N 1). Die Berufungsinstanz kann damit selbst entscheiden, ob das Berufungsverfahren mündlich oder schriftlich durchgeführt wird. Wenn die Sache spruchreif ist, kann bereits nach der Berufungsschrift und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Dies wird häufig anzunehmen sein (Reetz/Hilber, in: Sutter-Somm/Hasenböhler/ Leuenberger, ZPO Kommentar, Art. 316 N 34). Wie im Folgenden zu zeigen sein wird, ist die Sache spruchreif, so dass bereits nach dem ersten Schriftenwechsel aufgrund der Akten zu entscheiden ist.</w:t>
      </w:r>
    </w:p>
    <w:p>
      <w:r>
        <w:rPr>
          <w:b/>
        </w:rPr>
        <w:t>E. 4</w:t>
      </w:r>
    </w:p>
    <w:p>
      <w:r>
        <w:t>a) Gemäss Art. 337c Abs. 3 OR kann der Richter den Arbeitgeber bei ungerechtfertiger fristloser Kündigung verpflichten, dem Arbeitnehmer eine Ent- schädigung zu bezahlen, die er nach freiem Ermessen unter Würdigung aller Um- stände festzulegen hat. Diese Entschädigung hat sowohl Strafcharakter als auch Genugtuungsfunktion und soll die durch die ungerechtfertigte fristlose Kündigung erlittene Persönlichkeitsverletzung des Arbeitnehmers abgelten. Die Entschädi- gung darf den Lohn des Arbeitnehmers für sechs Monate nicht übersteigen. Sie hat sich entscheidend nach der Strafwürdigkeit des Verhaltens des Arbeitgebers, der Schwere der Persönlichkeitsverletzung, dem Mass der Widerrechtlichkeit der fristlosen Entlassung, der finanziellen Situation der Parteien und der Schwere des</w:t>
      </w:r>
    </w:p>
    <w:p>
      <w:r>
        <w:t>- 13 - Mitverschuldens des Arbeitnehmers zu richten (BGE 121 III 64 mit weiteren Hin- weisen). b) Die Klägerin beantragte im erstinstanzlichen Verfahren eine Ent- schädigung im Umfang von vier Monatslöhnen. Sie erachtete dies als angemes- sen, da sie wegen einer Lappalie entlassen worden sei. Die Beklagte habe sie zudem mit einer Strafanzeige stigmatisieren wollen. Ins Gewicht falle zudem, dass die ungerechtfertigte fristlose Entlassung eine knapp sechzigjährige, finanzi- ell schwache Arbeitnehmerin getroffen habe (Urk. 8 S. 7). Die Vorinstanz begründete ihren Entscheid, mit welchem sie die Entschädi- gung im Sinne von Art. 337c Abs. 3 OR auf zwei Monatslöhne festsetzte, einer- seits damit, dass die Klägerin erst seit dem 1. Dezember 2008 im selben Betrieb tätig gewesen sei, und anderseits wies sie darauf hin, dass sich die Klägerin "nicht vollständig korrekt verhalten" habe, als sie die Kassenrolle mit nach Hause genommen habe. Es sei allerdings auch zu berücksichtigen, dass der Geschäfts- führer die Klägerin unter Druck gesetzt habe, indem er mit der Polizei gedroht ha- be, obwohl er gar nicht wirklich eine Strafanzeige habe erheben wollen (Urk. 18 S. 9). Die Beklagte macht mit der Berufung geltend, die Vorinstanz habe ihr Er- messen nicht korrekt angewandt und die massgeblichen Kriterien nicht richtig ge- würdigt. Das Arbeitsverhältnis habe nicht einmal ein Jahr gedauert und für die neue Arbeitgeberin habe die Klägerin erst einen Monat gearbeitet. Auch sei das Verhalten der Klägerin zu wenig gewichtet worden, selbst wenn nicht von einem strafbaren Verhalten ausgegangen würde. Die Mitnahme von Buchungsbelegen dürfe nicht verniedlicht werden. Der Geschäftsführer habe befürchten müssen, dass er die Kassenrolle nicht mehr erhalten werde, weshalb er zu Recht mit der Polizei gedroht habe. Angesichts aller Umstände rechtfertige es sich, von der Zu- sprechung einer Entschädigung im Sinne von Art. 337c Abs. 3 OR abzusehen (Urk. 17 S. 8 f.). Die Klägerin ist dagegen der Auffassung, dass die zugesproche- ne Entschädigung sich am unteren Rand des Möglichen bewege (Urk. 22 S. 9).</w:t>
      </w:r>
    </w:p>
    <w:p>
      <w:r>
        <w:t>- 14 - c) Vorweg ist festzuhalten, dass die von der Klägerin angeführte bishe- rige Verweigerung der Ausstellung eines Arbeitszeugnisses (Urk. 22 S. 11) bei der Bemessung der Entschädigung im Sinne von Art 337c Abs. 3 OR nicht weiter zu berücksichtigen ist. Sodann führte der Beizug der Polizei zu keiner Strafanzei- ge, diese habe sich vielmehr am Verhalten der Beklagten gestört (Prot. I S. 3). Damit kann dieser Beizug aber auch nicht zu einer erheblichen Betroffenheit der Klägerin geführt haben. Schliesslich ist entgegen der Darstellung der Klägerin nicht von einer blossen Lappalie auszugehen, vielmehr stellt die eigenmächtige Mitnahme der Kassenrolle - auch wenn auf die Aussagen der Klägerin abgestellt wird, wonach sie ihre Eingaben habe überprüfen wollen - ein unkorrektes Verhal- ten dar, das durchaus zu einer Abmahnung hätte führen können. Die Klägerin hät- te die Kontrolle ohne Weiteres mit G._____ absprechen und am Arbeitsort durch- führen können. Damit stellt sich die Frage, ob die von der Vorinstanz festgesetzte Entschädigung im Umfang von zwei Monatslöhnen zu reduzieren ist. Die Vo- rinstanz hat allerdings bereits berücksichtigt, dass die Klägerin erst seit Dezember 2008 im fraglichen Betreib angestellt war und dass sie sich nicht korrekt verhalten hatte. Anderseits sind das Alter der Klägerin und ihre unbestritten gebliebenen bescheidenen finanziellen Verhältnisse mitzuberücksichtigen. Angesichts der vom Gesetz vorgegebenen Bandbreite, wonach die Entschädigung gemäss Art. 337c Abs. 3 OR sechs Monatslöhne nicht übersteigen darf, erscheint insgesamt eine Entschädigung im unteren Rahmen, d.h. im Umfang von rund anderthalb Monats- löhnen bzw. von Fr. 6'000.– als angemessen.</w:t>
      </w:r>
    </w:p>
    <w:p>
      <w:r>
        <w:rPr>
          <w:b/>
        </w:rPr>
        <w:t>E. 5</w:t>
      </w:r>
    </w:p>
    <w:p>
      <w:r>
        <w:t>Die von der Vorinstanz zugesprochenen Zinsen blieben unbestritten. Sie sind denn auch entsprechend zuzusprechen (vgl. Streiff/von Kaenel, a.a.O., N 3 und 14 zu Art. 337c OR). III. 1. Im erstinstanzlichen Verfahren betrug der Streitwert Fr. 27'619.15, im Ver- fahren vor zweiter Instanz beträgt er Fr. 15'225.75. Das Verfahren ist daher so- wohl vor erster Instanz als auch im Berufungsverfahren kostenlos (Art. 343 Abs. 2 und 3 aOR bzw. Art. 114 lit. c ZPO).</w:t>
      </w:r>
    </w:p>
    <w:p>
      <w:r>
        <w:t>- 15 - 2. a) Die Beklagte hat im erstinstanzlichen Verfahren die Rechtsbegehren Ziff. 2 und Ziff. 3 anerkannt. Sie gilt diesbezüglich als unterliegende Partei. Mit Bezug auf die Forderungsklage obsiegt die Klägerin mit Fr. 13'030.15, insgesamt obsiegt die Klägerin damit mit Fr. 17'227.95 bzw. 62,4% und sie unterliegt zu 37,6% (vgl. dazu die unbestritten gebliebene Streitwertberechnung der Vo- rinstanz: Urk. 18 S. 10). Dies rechtfertigt es, die Prozessentschädigung für das erstinstanzliche Verfahren entsprechend Obsiegen und Unterliegen auf rund 25% bzw. ¼ einer vollen Entschädigung festzusetzen. Die Höhe der vollen Entschädi- gung wurde dabei nicht in Frage gestellt. Die Entschädigung für das erstinstanzli- che Verfahren ist deshalb auf Fr. 1'175.– zuzüglich 8% Mehrwertsteuer (Fr. 94.–), d.h. auf insgesamt Fr. 1'269.– festzusetzen. b) Im Berufungsverfahren obsiegt die Klägerin mit Fr. 13'030.15, sie unterliegt mit Fr. 2'195.60 bzw. zu rund 15%. Damit ist ihr eine Entschädigung im Umfang von (gerundet) 70% einer vollen Prozessentschädigung zuzusprechen. Eine volle Prozessentschädigung würde sich ausgehend vom Streitwert von Fr. 15'225.75 gemäss § 4 Abs. 3 i.V. mit § 13 Abs. 2 der Anwaltsgebührenverord- nung vom 8. September 2010 auf Fr. 1'600.– belaufen. Entsprechend Obsiegen und Unterliegen ist die reduzierte Parteientschädigung damit auf Fr. 1'120.– zu- züglich 8% Mehrwertsteuer (Fr. 89.60), mithin auf insgesamt Fr. 1'209.60 festzu- 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