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LA110011 vom 22. Mai 2013</w:t>
      </w:r>
    </w:p>
    <w:p>
      <w:r>
        <w:t>ZH Obergericht, 2013-05-22, DE</w:t>
      </w:r>
    </w:p>
    <w:p>
      <w:r>
        <w:rPr>
          <w:b/>
        </w:rPr>
        <w:t xml:space="preserve">Quelle: </w:t>
      </w:r>
      <w:r>
        <w:t>https://mcp.opencaselaw.ch/entscheid/zh_obergericht_LA110011</w:t>
      </w:r>
    </w:p>
    <w:p>
      <w:r>
        <w:t>FR: ZH_OBERGERICHT LA110011 du 22 mai 2013</w:t>
      </w:r>
    </w:p>
    <w:p>
      <w:r>
        <w:t>IT: ZH_OBERGERICHT LA110011 del 22 maggio 2013</w:t>
      </w:r>
    </w:p>
    <w:p>
      <w:pPr>
        <w:pStyle w:val="Heading2"/>
      </w:pPr>
      <w:r>
        <w:t>Erwägungen</w:t>
      </w:r>
    </w:p>
    <w:p>
      <w:r>
        <w:rPr>
          <w:b/>
        </w:rPr>
        <w:t>E. 1</w:t>
      </w:r>
    </w:p>
    <w:p>
      <w:r>
        <w:t>Februar 2012 erfolgte die rechtshilfeweise Zeugeneinvernahme von C._____ durch das Kreisgericht Rheintal (Urk. 133). Mit Verfügung vom 6. Februar 2012 wurde den Parteien Frist angesetzt, um zum Beweisergebnis betreffend rechtzei- tige Übergabe der nachgereichten Berufungsbegründung an die schweizerische Post Stellung zu nehmen (Urk. 134). Die Stellungnahme des Klägers erging rechtzeitig am 25. Februar 2012 (Datum Poststempel; Urk. 135). Gleichzeitig er- klärte er, dass er davon ausgehe, dass die ihm von der Vorinstanz gewährte un- entgeltliche Rechtspflege auch im Berufungsverfahren gelte (Urk. 135). Daraufhin wurde der Kläger mit Verfügung vom 8. März 2012 aufgefordert, die aufgeführten Unterlagen zu seinen aktuellen Einkommens- und Vermögensverhältnissen einzu- reichen (Urk. 136). Innert Frist reichte der Kläger die Unterlagen ein mit dem Er- suchen, einen Teil davon der Beklagten nicht zugänglich zu machen (Urk. 137 f.). Mit Beschluss vom 3. April 2012 wurde dem Kläger für das Berufungsverfahren die unentgeltliche Prozessführung bewilligt und ihm sein Vertreter als unentgeltli- cher Rechtsbeistand bestellt. Sein Antrag auf Anordnung von Schutzmassnah- men wurde abgewiesen. Gleichzeitig wurde dem Kläger hernach Frist angesetzt zur Erstattung der Berufungsantwort (Urk. 139). Diese erging innert erstreckter Frist am 30. Mai 2012 (Urk. 143). Die schriftliche Berufungsreplik vom 3. Septem- ber 2012 erfolgte rechtzeitig (Urk. 149). Auf Antrag des Klägers wurde der Beklag- ten Frist angesetzt, um ihre - von der Schriftgrösse her schwer lesbare sowie teil- weise weitschweifige - Berufungsreplikschrift zu verbessern (Urk. 152 f.). Die ver- besserte Berufungsreplik erging am 5. November 2012 (Urk. 154). Die Beru- fungsduplik wurde am 10. Dezember 2012 rechtzeitig erstattet (Urk. 156). Diese wurde der Beklagten in der Folge zur Kenntnisnahme zugestellt (Urk. 157 ff.). Die Parteien haben auf eine Teilnahme an der öffentlichen Beratung und mündliche Eröffnung des Entscheides verzichtet (Prot. II S. 21).</w:t>
      </w:r>
    </w:p>
    <w:p>
      <w:r>
        <w:t>- 6 -</w:t>
      </w:r>
    </w:p>
    <w:p>
      <w:r>
        <w:rPr>
          <w:b/>
        </w:rPr>
        <w:t>E. 2</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anzuwenden.</w:t>
      </w:r>
    </w:p>
    <w:p>
      <w:r>
        <w:rPr>
          <w:b/>
        </w:rPr>
        <w:t>E. 3</w:t>
      </w:r>
    </w:p>
    <w:p>
      <w:r>
        <w:t>Vor der Berufungsinstanz ist neues Vorbringen nur unter den Voraussetzungen von §§ 115 und 138 ZPO/ZH zulässig (§ 267 Abs. 1 ZPO/ZH). Gemäss § 115 Ziff. 2 ZPO/ZH sind Bestreitungen und Einreden zuzulassen, wenn sie durch neu ein- gereichte Urkunden sofort bewiesen werden können. Für die nachträgliche Be- weisantretung gilt § 115 ZPO/ZH entsprechend (§ 138 ZPO/ZH). Zulässig ist die nachträgliche Vorlegung einer Urkunde, mit der eine Behauptung sofort eindeutig erstellt oder widerlegt werden kann (Frank/Sträuli/Messmer, Kommentar zur zür- cherischen Zivilprozessordnung, 3. A., Zürich 1997, N 2 zu § 138 ZPO). In An- wendung von § 115 Ziff. 5 ZPO/ZH sind sodann auch diejenigen neuen Behaup- tungen beachtlich, welche erst durch im vorinstanzlichen Urteil enthaltene, im bis- herigen Prozessverlauf von keiner Seite erörterte Überlegungen veranlasst wur- den (ZR 100 Nr. 27; ZR 78 Nr. 35; Frank/Sträuli/Messmer, a.a.O., N 6 zu § 55 ZPO).</w:t>
      </w:r>
    </w:p>
    <w:p>
      <w:r>
        <w:rPr>
          <w:b/>
        </w:rPr>
        <w:t>E. 4</w:t>
      </w:r>
    </w:p>
    <w:p>
      <w:r>
        <w:t>Der Antrag des Klägers auf Ausstellung eines Arbeitszeugnisses wird als gegenstandslos erledigt abgeschrieben.</w:t>
      </w:r>
    </w:p>
    <w:p>
      <w:r>
        <w:rPr>
          <w:b/>
        </w:rPr>
        <w:t>E. 5</w:t>
      </w:r>
    </w:p>
    <w:p>
      <w:r>
        <w:t>Die erstinstanzliche Kosten- und Entschädigungsregelung (Dispositiv-Ziffern</w:t>
      </w:r>
    </w:p>
    <w:p>
      <w:r>
        <w:rPr>
          <w:b/>
        </w:rPr>
        <w:t>E. 6</w:t>
      </w:r>
    </w:p>
    <w:p>
      <w:r>
        <w:t>Die zweitinstanzliche Entscheidgebühr wird auf Fr.10'000.-- festgesetzt.</w:t>
      </w:r>
    </w:p>
    <w:p>
      <w:r>
        <w:rPr>
          <w:b/>
        </w:rPr>
        <w:t>E. 7</w:t>
      </w:r>
    </w:p>
    <w:p>
      <w:r>
        <w:t>Die Gerichtskosten für das zweitinstanzliche Verfahren werden der Beklag- ten auferlegt.</w:t>
      </w:r>
    </w:p>
    <w:p>
      <w:r>
        <w:rPr>
          <w:b/>
        </w:rPr>
        <w:t>E. 8</w:t>
      </w:r>
    </w:p>
    <w:p>
      <w:r>
        <w:t>Die Beklagte wird verpflichtet, dem Rechtsvertreter des Klägers für das zweitinstanzliche Verfahren eine Parteientschädigung von Fr. 8'000.-- zu be- zahlen.</w:t>
      </w:r>
    </w:p>
    <w:p>
      <w:r>
        <w:rPr>
          <w:b/>
        </w:rPr>
        <w:t>E. 9</w:t>
      </w:r>
    </w:p>
    <w:p>
      <w:r>
        <w:t>Schriftliche Mitteilung an die Parteien sowie an das Bezirksgericht Hinwil,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102'163.25.</w:t>
      </w:r>
    </w:p>
    <w:p>
      <w:r>
        <w:t>- 28 - Die Beschwerde an das Bundesgericht hat keine aufschiebende Wirkung. Hinsichtlich des Fristenlaufs gelten die Art. 44 ff. BGG. Zürich, 22. Mai 2013 Obergericht des Kantons Zürich I. Zivilkammer Der Präsident: Die Gerichtsschreiberin: Dr. R. Klopfer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