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KG090005 vom 2. April 2009</w:t>
      </w:r>
    </w:p>
    <w:p>
      <w:r>
        <w:t>ZH Obergericht, 2009-04-02, DE</w:t>
      </w:r>
    </w:p>
    <w:p>
      <w:r>
        <w:rPr>
          <w:b/>
        </w:rPr>
        <w:t xml:space="preserve">Quelle: </w:t>
      </w:r>
      <w:r>
        <w:t>https://mcp.opencaselaw.ch/entscheid/zh_obergericht_KG090005</w:t>
      </w:r>
    </w:p>
    <w:p>
      <w:r>
        <w:t>FR: ZH_OBERGERICHT KG090005 du 2 avril 2009</w:t>
      </w:r>
    </w:p>
    <w:p>
      <w:r>
        <w:t>IT: ZH_OBERGERICHT KG090005 del 2 aprile 2009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Unter Berücksichtigung dieser Grundsätze ist ein hinreichender Verdacht für eine Berufsregelverletzung nicht dargetan. Erstens handelt es sich beim fragli- chen Schreiben, das am 9. Februar 2009 direkt an die Verzeiger gesandt wurde, um ein neues eigenständiges Verfahren, nämlich um die Anfechtung der Verein- barung wegen gegründeter Furcht sowie allenfalls Übervorteilung, das unabhän- gig vom Strafverfahren geführt wird und für das dem Beschuldigten keine anwalt- liche Vertretung angezeigt war. Zweitens hat der Beschuldigte, zwar nicht umge- hend, aber immerhin einen Tag später die Rechtsvertreterin der Verzeiger mit ei- ner Kopie des Schreibens vom 9. Februar 2009 orientiert, so dass auch unter dem Aspekt der unzulässigen Beeinflussung der Gegenpartei eine Berufsregel- verletzung nicht auszumachen ist, abgesehen davon, dass - wie erwähnt - die Rechtsvertreterin zu jener Zeit nur für die Vertretung im Strafverfahren bevoll- mächtigt war.</w:t>
      </w:r>
    </w:p>
    <w:p>
      <w:r>
        <w:rPr>
          <w:b/>
        </w:rPr>
        <w:t>E. 6</w:t>
      </w:r>
    </w:p>
    <w:p>
      <w:r>
        <w:t>Nach dem Gesagten ist ein hinreichender Verdacht im Sinne von § 30 Abs. 4, Satz 1 AnwG für eine verbotene direkte Kontaktaufnahme mit der Gegen-</w:t>
      </w:r>
    </w:p>
    <w:p>
      <w:r>
        <w:t>- 3 - partei nicht gegeben. Dies führt zur Nichtanhandnahme des Verfahrens (§ 30 Abs. 4 Satz 2 AnwG)." Beschluss der Aufsichtskommission über die Anwältinnen und Anwälte vom 2. April 2009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