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KD140003 vom 26. Juni 2014</w:t>
      </w:r>
    </w:p>
    <w:p>
      <w:r>
        <w:t>ZH Obergericht, 2014-06-26, DE</w:t>
      </w:r>
    </w:p>
    <w:p>
      <w:r>
        <w:rPr>
          <w:b/>
        </w:rPr>
        <w:t xml:space="preserve">Quelle: </w:t>
      </w:r>
      <w:r>
        <w:t>https://mcp.opencaselaw.ch/entscheid/zh_obergericht_KD140003</w:t>
      </w:r>
    </w:p>
    <w:p>
      <w:r>
        <w:t>FR: ZH_OBERGERICHT KD140003 du 26 juin 2014</w:t>
      </w:r>
    </w:p>
    <w:p>
      <w:r>
        <w:t>IT: ZH_OBERGERICHT KD140003 del 26 giugno 2014</w:t>
      </w:r>
    </w:p>
    <w:p>
      <w:pPr>
        <w:pStyle w:val="Heading2"/>
      </w:pPr>
      <w:r>
        <w:t>Erwägungen</w:t>
      </w:r>
    </w:p>
    <w:p>
      <w:r>
        <w:rPr>
          <w:b/>
        </w:rPr>
        <w:t>E. 1</w:t>
      </w:r>
    </w:p>
    <w:p>
      <w:r>
        <w:t>Januar 2011 sei die Genehmigung durch den Kantonsrat einzuholen, ist wenig wahrscheinlich - die neue Verordnung sollte ja erst in Kraft treten, nachdem das GVG/ZH mit Ausnahme des übergangsrechtlichen Bereiches aufgehoben war. Eine gewisse logische Schwierigkeit kann man darin sehen, dass die neue Ver- ordnung gestützt auf ein Gesetz erlassen wurde, dessen Inkrafttreten zwar bereits fest stand, das aber doch noch nicht galt. Allerdings ist das ein im Rahmen der zweistufigen Gesetzgebung (Gesetz / Verordnung) durchaus übliches Vorgehen, weil so neue Regeln beider Stufen gleichzeitig und sofort angewendet werden können, was Missverständnisse und Inkohärenzen um den Termin des Inkrafttre- tens herum vermeiden hilft. Das Obergericht ging daher davon aus, das gewählte Vorgehen sei zulässig. Damit soll keineswegs gesagt sein, dass man diese Frage nicht auch anders beurteilen könnte: dass entweder noch im Jahr 2010 die Genehmigung durch den Kantonsrat einzuholen gewesen wäre, oder dass die neue Verordnung erst im Jahr 2011 hätte erlassen werden dürfen. Dass die Mitglieder des Obergerichts, welche in der Plenarversammlung am 3. November 2010 am Erlass der Verord- nung mitwirkten (also grundsätzlich alle), in den Ausstand zu treten hätten, ist gleichwohl abwegig. Die Beschwerdeführerin resp. ihr prozesserfahrener Vertreter weiss sehr genau, dass die angerufene "Vorbefassung" im Zivilprozess nur sehr</w:t>
      </w:r>
    </w:p>
    <w:p>
      <w:r>
        <w:t>- 5 - eingeschränkt als Ausstandsgrund gilt (Art. 47 Abs. 2 ZPO), dass es in aller Regel missbräuchlich und unbeachtlich ist, ein ganzes Gericht pauschal abzulehnen (BGE 129 III 445), und dass Fragen der materiellen Beurteilung, etwa früher ge- fällte Entscheide über die nämliche Frage, nicht zum Ausstand führen (BGE 114 Ia 278). Das Ausstandgesuch der Beschwerdeführerin ist daher von vorne herein unbegründet, wenn nicht ohnehin missbräuchlich. Auf ein gesondertes eigenes Verfahren im Sinne von Art. 50 ZPO war und ist daher zu verzichten (Dike- Kommentar ZPO Diggelmann [online-Stand 3. Jun i 2013], Art. 50 N. 5). 3.2 Die Beschwerde in der Sache wird vorweg damit begründet, dass die der Verwaltungskommission zugegangene Eingabe nicht ungebührlich gewesen sei, weil Kritik an einem objektiv unfähigen Richter nicht unterbunden werden dür- fe. So zutreffend das Letztere ist, so zweifelsfrei hat die Beschwerdeführerin den Gerichtspräsidenten der Erbteilungsprozesse nicht sachlich kritisiert, sondern ge- zielt und massiv beleidigt. Eventuell wird moniert, dass die Verwaltungskommissi- on der Beschwerdeführerin nicht im Sinne von Art. 132 ZPO Gelegenheit zur Ver- besserung gab. Dass dieser Standpunkt missbräuchlich ist, hat die Verwaltungs- kommission der Beschwerdeführerin zutreffend erläutert, und es bedarf keiner Wiederholung. 3.3 Nur der Vollständigkeit halber sei angefügt, dass die Prozessleitung der Erbteilungsprozesse nach der Eingabe der Beschwerdeführerin, so weit sich zwischen den Injurien sachliche Punkte ausmachen lassen, nicht den Anschein der Befangenheit des Gerichtspräsidenten erweckt. Wenn dieser zur Auffassung kommt, zu einem bestimmten Punkt sei das Nötige gefragt und gesagt, führt er das Verfahren auf dieser Basis weiter. Für eine Überprüfung seiner Beurteilung (und aller weiteren möglicherweise streitigen Fragen) wird nach Ende des Pro- zesses das Berufungsverfahren zur Verfügung stehen.</w:t>
      </w:r>
    </w:p>
    <w:p>
      <w:r>
        <w:rPr>
          <w:b/>
        </w:rPr>
        <w:t>E. 4</w:t>
      </w:r>
    </w:p>
    <w:p>
      <w:r>
        <w:t>Die Kosten des Verfahrens gehen zu Lasten der unterliegenden Be- schwerdeführerin. Den Beschwerdegegnern entstanden keine zu entschädigen- den Aufwendungen.</w:t>
      </w:r>
    </w:p>
    <w:p>
      <w:r>
        <w:t>- 6 -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