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ZH_KASSATIONSGERICHT AC080019 vom 25. September 2008</w:t>
      </w:r>
    </w:p>
    <w:p>
      <w:r>
        <w:t>Zh Kassationsgericht, 2008-09-25, DE</w:t>
      </w:r>
    </w:p>
    <w:p>
      <w:r>
        <w:rPr>
          <w:b/>
        </w:rPr>
        <w:t xml:space="preserve">Quelle: </w:t>
      </w:r>
      <w:r>
        <w:t>https://mcp.opencaselaw.ch/entscheid/zh_kassationsgericht_AC080019</w:t>
      </w:r>
    </w:p>
    <w:p>
      <w:r>
        <w:t>FR: ZH_KASSATIONSGERICHT AC080019 du 25 septembre 2008</w:t>
      </w:r>
    </w:p>
    <w:p>
      <w:r>
        <w:t>IT: ZH_KASSATIONSGERICHT AC080019 del 25 settembre 2008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Gegen den vorliegenden Beschluss kann Beschwerde in Strafsachen an das Bundesgericht erhoben werden. Hingegen läuft die Frist zur Anfechtung der obergerichtlichen Präsidialverfügung vom 11. Juli 2008 nicht neu; einerseits hat der Beschwerdeführer diese Verfügung bereits beim Bundesgericht (erfolglos) angefochten (1B_231/2008, Urteil BGer vom 15.8.2008; OG act. 81) und anderer- seits fällt eine neue Fristansetzung zufolge Unzulässigkeit der kantonalen Kassa- tionsbeschwerde ohnehin ausser Betracht (BGE 134 III 92 ff., Erw. 1.2; Proz.-Nr. 4D.38/2008, Urteil BGer vom 18.4.2008).</w:t>
      </w:r>
    </w:p>
    <w:p>
      <w:r>
        <w:t>- 5 - Das Gericht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