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AC080015 vom 9. Juli 2009</w:t>
      </w:r>
    </w:p>
    <w:p>
      <w:r>
        <w:t>Zh Kassationsgericht, 2009-07-09, DE</w:t>
      </w:r>
    </w:p>
    <w:p>
      <w:r>
        <w:rPr>
          <w:b/>
        </w:rPr>
        <w:t xml:space="preserve">Quelle: </w:t>
      </w:r>
      <w:r>
        <w:t>https://mcp.opencaselaw.ch/entscheid/zh_kassationsgericht_AC080015</w:t>
      </w:r>
    </w:p>
    <w:p>
      <w:r>
        <w:t>FR: ZH_KASSATIONSGERICHT AC080015 du 9 juillet 2009</w:t>
      </w:r>
    </w:p>
    <w:p>
      <w:r>
        <w:t>IT: ZH_KASSATIONSGERICHT AC080015 del 9 luglio 2009</w:t>
      </w:r>
    </w:p>
    <w:p>
      <w:pPr>
        <w:pStyle w:val="Heading2"/>
      </w:pPr>
      <w:r>
        <w:t>Erwägungen</w:t>
      </w:r>
    </w:p>
    <w:p>
      <w:r>
        <w:rPr>
          <w:b/>
        </w:rPr>
        <w:t>E. 9</w:t>
      </w:r>
    </w:p>
    <w:p>
      <w:r>
        <w:t>Der Beschwerdeführer sieht schliesslich seinen Gehörsanspruch verletzt, weil ihm die Vorinstanz die Einsicht in die Originalnotizen des Gutachters verwei-</w:t>
      </w:r>
    </w:p>
    <w:p>
      <w:r>
        <w:t>- 25 - gert habe (vgl. KG act. 1 S. 47f.). Nachdem sich die unter dem Titel "Fehler in der Informationsaufnahme" erhobene Rüge (Verletzung der aus dem Gehörsan- spruch fliessenden Begründungspflicht) als begründet erwiesen hat (vgl. vorste- hend E. 2), kommt der vorliegenden Rüge keine eigenständige Bedeutung mehr zu und die Vorinstanz wird (gegebenenfalls) nochmals über den entsprechenden Antrag zu entscheiden haben.</w:t>
      </w:r>
    </w:p>
    <w:p>
      <w:r>
        <w:rPr>
          <w:b/>
        </w:rPr>
        <w:t>E. 10</w:t>
      </w:r>
    </w:p>
    <w:p>
      <w:r>
        <w:t>Abschliessend ergibt sich, dass der Beschwerdeführer mehrere Nichtig- keitsgründe nachzuweisen vermochte. Dies führt zur Gutheissung der Beschwer- de, zur Aufhebung des angefochtenen Entscheids und zur Rückweisung der Sa- che zur (allfälligen) neuen Entscheidung. IV. Ausgangsgemäss werden die Kosten des Kassationsverfahrens, ein- schliesslich derjenigen der amtlichen Verteidigung, auf die Gerichtskasse ge- nommen. Über die anwaltliche Entschädigung wird mit separater Präsidialverfü- gung entschieden werden. Beim vorliegenden (Rückweisungs-)Beschluss handelt es sich um einen Zwischenentscheid. Gegen solche Entscheide ist die Beschwerde in Strafsachen nach Art. 78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