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AC060035 vom 30. April 2007</w:t>
      </w:r>
    </w:p>
    <w:p>
      <w:r>
        <w:t>Zh Kassationsgericht, 2007-04-30, DE</w:t>
      </w:r>
    </w:p>
    <w:p>
      <w:r>
        <w:rPr>
          <w:b/>
        </w:rPr>
        <w:t xml:space="preserve">Quelle: </w:t>
      </w:r>
      <w:r>
        <w:t>https://mcp.opencaselaw.ch/entscheid/zh_kassationsgericht_AC060035</w:t>
      </w:r>
    </w:p>
    <w:p>
      <w:r>
        <w:t>FR: ZH_KASSATIONSGERICHT AC060035 du 30 avril 2007</w:t>
      </w:r>
    </w:p>
    <w:p>
      <w:r>
        <w:t>IT: ZH_KASSATIONSGERICHT AC060035 del 30 aprile 2007</w:t>
      </w:r>
    </w:p>
    <w:p>
      <w:pPr>
        <w:pStyle w:val="Heading2"/>
      </w:pPr>
      <w:r>
        <w:t>Erwägungen</w:t>
      </w:r>
    </w:p>
    <w:p>
      <w:r>
        <w:rPr>
          <w:b/>
        </w:rPr>
        <w:t>E. 1</w:t>
      </w:r>
    </w:p>
    <w:p>
      <w:r>
        <w:t>Staatsanwaltschaft IV des Kantons Zürich, Anklägerin und Beschwerdegegnerin 1</w:t>
      </w:r>
    </w:p>
    <w:p>
      <w:r>
        <w:rPr>
          <w:b/>
        </w:rPr>
        <w:t>E. 2</w:t>
      </w:r>
    </w:p>
    <w:p>
      <w:r>
        <w:t>Die Beschwerdeführerin hat gegen das Urteil der I. Strafkammer rechtzei- tig kantonale Nichtigkeitsbeschwerde angemeldet (OG act. 49 bzw. KG act. 6) und begründet (KG act. 1). Sie beantragt, Ziff. 2 des angefochtenen Urteils (Straf- punkt) sei aufzuheben und das Verfahren an das Obergericht zurückzuweisen (KG act. 1 S. 2). Die Staatsanwaltschaft (Beschwerdegegnerin 1) hat auf Be- schwerdeantwort verzichtet (KG act. 9), ebenso die Vorinstanz auf Vernehmlas- sung (KG act. 10). Auch der Geschädigte liess einen Verzicht auf Beschwerde- antwort mitteilen (KG act. 11).</w:t>
      </w:r>
    </w:p>
    <w:p>
      <w:r>
        <w:rPr>
          <w:b/>
        </w:rPr>
        <w:t>E. 3</w:t>
      </w:r>
    </w:p>
    <w:p>
      <w:r>
        <w:t>Schliesslich macht die Beschwerdeführerin geltend, das Obergericht habe die mit dem Dr. C. erteilten Gutachtensauftrag verbundene Verfahrensverzöge- rung willkürlich und aktenwidrig mit 5 Monaten bemessen (KG act. 1 S. 7). Diese Rüge ist im derzeitigen Beschwerdeverfahren nicht zu behandeln. Es erscheint, als ob bei der Ausfertigung des obergerichtlichen Entscheides die ent- sprechende Erwägung nicht komplett Eingang in das Urteil gefunden hätte (KG act. 2 S. 44). Da das Urteil zufolge der Gutheissung aufgehoben wird, ist der Vo- rinstanz die Möglichkeit einzuräumen, ihre Erwägung zu vervollständigen. Offen bleiben kann bei dieser Sachlage, ob und inwiefern das Kassationsgericht die er- hobene Rüge im Lichte der neueren bundesgerichtlichen Rechtsprechung zur Thematik des Beschleunigungsgebotes (BGE 130 IV 54; vgl. auch Urteil vom 30. August 2006, 6S.216/2006) überprüfen könnte.</w:t>
      </w:r>
    </w:p>
    <w:p>
      <w:r>
        <w:t>- 9 - II I. Ausgangsgemäss sind sämtliche Kosten, inklusive diejenigen der amtlichen Verteidigung der Beschwerdeführerin, auf die Gerichtskasse zu nehmen (§ 396a StPO). Über die Höhe der Entschädigung des amtlichen Verteidigers wird nach Eingang der Honorarnote mittels Präsidialverfügung zu entscheiden sein.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