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ZH_KASSATIONSGERICHT AC050097 vom 28. Juni 2006</w:t>
      </w:r>
    </w:p>
    <w:p>
      <w:r>
        <w:t>Zh Kassationsgericht, 2006-06-28, DE</w:t>
      </w:r>
    </w:p>
    <w:p>
      <w:r>
        <w:rPr>
          <w:b/>
        </w:rPr>
        <w:t xml:space="preserve">Quelle: </w:t>
      </w:r>
      <w:r>
        <w:t>https://mcp.opencaselaw.ch/entscheid/zh_kassationsgericht_AC050097</w:t>
      </w:r>
    </w:p>
    <w:p>
      <w:r>
        <w:t>FR: ZH_KASSATIONSGERICHT AC050097 du 28 juin 2006</w:t>
      </w:r>
    </w:p>
    <w:p>
      <w:r>
        <w:t>IT: ZH_KASSATIONSGERICHT AC050097 del 28 giugno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Nach dem Gesagten kann auf die Nichtigkeitsbeschwerde des Beschwer- deführers 2 gesamthaft nicht eingetreten werden. V. Nach § 396a StPO erfolgt die Auflage der Kosten und die Zusprechung einer Entschädigung in der Regel im Verhältnis von Obsiegen und Unterliegen der Verfahrensbeteiligten. Die Beschwerdeführer 1 und 2 vermochten mit ihren Hauptanträgen nicht durchzudringen und werden als unterliegende Parteien ko- stenpflichtig. Die Ausführungen der Geschädigten E. (Beschwerdegegnerin 6) in ihrem Schreiben vom 8. Oktober 2005 sind allgemein gehalten und enthalten ins- besondere keine ausreichend konkreten Anträge zur Sache (vgl. KG act. 15/11 und 15/12). Sie kann somit im Verfahren Kass.-Nr. AC050105 nicht als obsiegen-</w:t>
      </w:r>
    </w:p>
    <w:p>
      <w:r>
        <w:t>- 16 - de Partei im Sinne der zitierten Bestimmung angesehen werden und hat als sol- che keinen Anspruch auf Prozessentschädigung. Wegen des unterschiedlichen Aufwands bei der Behandlung der zwei Nich- tigkeitsbeschwerden rechtfertigt es sich, die Kosten im Umfang von 1/3 auf die Beschwerde von Y. und im Umfang von 2/3 auf die Beschwerde von X. zu verle- gen. Weiter haben die beiden Beschwerdeführer je die Kosten ihrer amtlichen Verteidigung zu tragen.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