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AC040097 vom 20. Juni 2005</w:t>
      </w:r>
    </w:p>
    <w:p>
      <w:r>
        <w:t>Zh Kassationsgericht, 2005-06-20, DE</w:t>
      </w:r>
    </w:p>
    <w:p>
      <w:r>
        <w:rPr>
          <w:b/>
        </w:rPr>
        <w:t xml:space="preserve">Quelle: </w:t>
      </w:r>
      <w:r>
        <w:t>https://mcp.opencaselaw.ch/entscheid/zh_kassationsgericht_AC040097</w:t>
      </w:r>
    </w:p>
    <w:p>
      <w:r>
        <w:t>FR: ZH_KASSATIONSGERICHT AC040097 du 20 juin 2005</w:t>
      </w:r>
    </w:p>
    <w:p>
      <w:r>
        <w:t>IT: ZH_KASSATIONSGERICHT AC040097 del 20 giugno 2005</w:t>
      </w:r>
    </w:p>
    <w:p>
      <w:pPr>
        <w:pStyle w:val="Heading2"/>
      </w:pPr>
      <w:r>
        <w:t>Erwägungen</w:t>
      </w:r>
    </w:p>
    <w:p>
      <w:r>
        <w:rPr>
          <w:b/>
        </w:rPr>
        <w:t>E. 1</w:t>
      </w:r>
    </w:p>
    <w:p>
      <w:r>
        <w:t>Das Statthalteramt des Bezirks Uster bestrafte X. mit (rechtskräftiger) Verfügung vom 31. Januar 2002 wegen Übertretung der Chauffeurverordnung (ARV) mit einer Busse von Fr. 1'200.–. Diese Busse wandelte der Einzelrichter des Bezirks Uster mit Verfügung vom 10. Oktober 2003 in 40 Tage Haft um (unter Verweigerung des bedingten Strafvollzugs). Den dagegen von X. erhobenen Re- kurs wies die III. Strafkammer des Obergerichts mit Beschluss vom 26. Juni 2004 ab. (Über den Gang und die einzelnen Stationen des Verfahrens gibt der im vor- liegenden Verfahren gefällte [Zwischen-]Entscheid des Kassationsgerichts vom 14. November 2004 [KG act. 12 S. 2] Auskunft; es kann darauf verwiesen wer- den.)</w:t>
      </w:r>
    </w:p>
    <w:p>
      <w:r>
        <w:rPr>
          <w:b/>
        </w:rPr>
        <w:t>E. 2</w:t>
      </w:r>
    </w:p>
    <w:p>
      <w:r>
        <w:t>In Gutheissung der Nichtigkeitsbeschwerde ist der angefochtene Ent- scheid aufzuheben und die Sache im Sinne der Erwägungen an die Vorinstanz zurückzuweisen.</w:t>
      </w:r>
    </w:p>
    <w:p>
      <w:r>
        <w:rPr>
          <w:b/>
        </w:rPr>
        <w:t>E. 3</w:t>
      </w:r>
    </w:p>
    <w:p>
      <w:r>
        <w:t>Schliesslich erübrigt sich bei diesem Ausgang eine Prüfung der in der Be- schwerde weiter erhobenen Willkürrügen (vgl. KG act. 16 S. 5) sowie der vom Beschwerdeführer persönlich verfassten Beschwerdebegründung (vgl. KG act. 17 S. 1-3). IV. Die Kosten des Kassationsverfahrens, einschliesslich diejenigen der amtli- chen Verteidigung, werden ausgangsgemäss auf die Gerichtskasse genommen.</w:t>
      </w:r>
    </w:p>
    <w:p>
      <w:r>
        <w:t>- 11 -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