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AC040028 vom 2. November 2004</w:t>
      </w:r>
    </w:p>
    <w:p>
      <w:r>
        <w:t>Zh Kassationsgericht, 2004-11-02, DE</w:t>
      </w:r>
    </w:p>
    <w:p>
      <w:r>
        <w:rPr>
          <w:b/>
        </w:rPr>
        <w:t xml:space="preserve">Quelle: </w:t>
      </w:r>
      <w:r>
        <w:t>https://mcp.opencaselaw.ch/entscheid/zh_kassationsgericht_AC040028</w:t>
      </w:r>
    </w:p>
    <w:p>
      <w:r>
        <w:t>FR: ZH_KASSATIONSGERICHT AC040028 du 2 novembre 2004</w:t>
      </w:r>
    </w:p>
    <w:p>
      <w:r>
        <w:t>IT: ZH_KASSATIONSGERICHT AC040028 del 2 novembre 2004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Abschliessend bleibt festzuhalten, dass der Beschwerdeführer 2 keinen Nichtigkeitsgrund nachzuweisen vermochte. Dies führt zur Abweisung der Be- schwerde, soweit darauf eingetreten werden konnte. D. Ausgangsgemäss haben die jeweils in ihren Kassationsverfahren unterlege- nen Beschwerdeführer 1 und 2 die Kosten des (vereinigten) Kassationsverfahrens je zur Hälfte zu tragen. Darüber hinaus werden ihnen die Kosten ihrer jeweiligen amtlichen Verteidigung auferlegt (vgl. § 396a StPO). Da die Beschwerdegegner 2- 9 auf die Stellung eines Antrages zur Sache in beiden Verfahren verzichteten (vgl. KG act. 14 und act. 15/11), gelten sie nicht als obsiegende Partei im Sinne von § 396a StPO. Von der Zusprechung einer Prozessentschädigung für die ihnen im Kassationsverfahren entstanden Kosten und Umtriebe ist daher abzusehen. Das Gleiche gilt für die übrigen Beschwerdegegner 10-12 im Verfahren AC040028, welche sich innert Frist nicht vernehmen liessen (vgl. E. B/I/3).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