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ZH_KASSATIONSGERICHT AC030126 vom 26. April 2004</w:t>
      </w:r>
    </w:p>
    <w:p>
      <w:r>
        <w:t>Zh Kassationsgericht, 2004-04-26, DE</w:t>
      </w:r>
    </w:p>
    <w:p>
      <w:r>
        <w:rPr>
          <w:b/>
        </w:rPr>
        <w:t xml:space="preserve">Quelle: </w:t>
      </w:r>
      <w:r>
        <w:t>https://mcp.opencaselaw.ch/entscheid/zh_kassationsgericht_AC030126</w:t>
      </w:r>
    </w:p>
    <w:p>
      <w:r>
        <w:t>FR: ZH_KASSATIONSGERICHT AC030126 du 26 avril 2004</w:t>
      </w:r>
    </w:p>
    <w:p>
      <w:r>
        <w:t>IT: ZH_KASSATIONSGERICHT AC030126 del 26 aprile 2004</w:t>
      </w:r>
    </w:p>
    <w:p>
      <w:pPr>
        <w:pStyle w:val="Heading2"/>
      </w:pPr>
      <w:r>
        <w:t>Erwägungen</w:t>
      </w:r>
    </w:p>
    <w:p>
      <w:r>
        <w:rPr>
          <w:b/>
        </w:rPr>
        <w:t>E. 1</w:t>
      </w:r>
    </w:p>
    <w:p>
      <w:r>
        <w:t>Staatsanwaltschaft des Kantons Zürich, 8001 Zürich, Anklägerin, Zweitappellantin und Beschwerdegegnerin vertreten durch Staatsanwalt ____________</w:t>
      </w:r>
    </w:p>
    <w:p>
      <w:r>
        <w:rPr>
          <w:b/>
        </w:rPr>
        <w:t>E. 2</w:t>
      </w:r>
    </w:p>
    <w:p>
      <w:r>
        <w:t>Mit Urteil vom 21. November 2002 sprach der Einzelrichter am Be- zirksgericht Horgen den Beschwerdeführer schuldig der Freiheitsberaubung im Sinne von Art. 183 Ziff. 1 Abs. 1 StGB, der mehrfachen versuchten Nötigung im Sinne von Art. 181 StGB i.V.m. Art. 22 Abs. 1 StGB sowie des mehrfachen Miss- brauchs einer Fernmeldeanlage im Sinne von Art. 179septies StGB. Der Beschwer- deführer wurde bestraft mit 6 Monaten Gefängnis, wovon 31 Tage durch Untersu- chungshaft erstanden waren. Der Vollzug der Freiheitsstrafe wurde aufgeschoben und die Probezeit auf 4 Jahre angesetzt. Der Beschwerdeführer wurde verpflich- tet, der Geschädigten Fr. 3'000.-- Genugtuung zu bezahlen. Im Mehrbetrag wurde das Genugtuungsbegehren abgewiesen. Auf das Schadenersatzbegehren der Geschädigten wurde nicht eingetreten. Die Kosten, inklusive diejenigen der amtli- chen Verteidigung sowie der Verbeiständung der Geschädigten, wurden dem Be-</w:t>
      </w:r>
    </w:p>
    <w:p>
      <w:r>
        <w:t>- 3 - schwerdeführer auferlegt. Mit gleichentags ergangener Verfügung wurde der Voll- zug der mit Urteil des Einzelrichters am Bezirksgericht Zürich vom 16. Dezember 1997 ausgesprochenen Freiheitsstrafe von 3 Monaten Gefängnis abzüglich 40 Tage erstandener Untersuchungshaft angeordnet (OG act. 52).</w:t>
      </w:r>
    </w:p>
    <w:p>
      <w:r>
        <w:rPr>
          <w:b/>
        </w:rPr>
        <w:t>E. 3</w:t>
      </w:r>
    </w:p>
    <w:p>
      <w:r>
        <w:t>Gegen dieses einzelrichterliche Urteil erhob der Beschwerdeführer Berufung. Mit Urteil vom 19. August 2003 sprach die II. Strafkammer des Oberge- richts den Beschwerdeführer schuldig der mehrfachen versuchten Nötigung im Sinne von Art. 191 StGB i.V.m. Art. 22 Abs. 1 StGB sowie des mehrfachen Miss- brauchs einer Fernmeldeanlage im Sinne von Art. 179septies StGB. Vom Vorwurf der Freiheitsberaubung im Sinne von Art. 183 Ziff. 1 Abs. 1 StGB und der mehrfa- chen Drohung im Sinne von Art. 180 StGB wurde er freigesprochen. Er wurde be- straft mit 4 Monaten Gefängnis, wovon 31 Tage durch Untersuchungshaft erstan- den waren. Der Vollzug der Freiheitsstrafe wurde aufgeschoben und die Probezeit auf 5 Jahre angesetzt. Der Beschwerdeführer wurde verpflichtet, der Geschädig- ten eine Genugtuung von Fr. 2'000.-- zu bezahlen. Im Mehrbetrag wurde das Ge- nugtuungsbegehren abgewiesen. Auf das Schadenersatzbegehren der Geschä- digten wurde nicht eingetreten. Die Kosten der Untersuchung sowie des erst- und zweitinstanzlichen Gerichtsverfahrens, einschliesslich der Kosten der amtlichen Verteidigung und der Verbeiständung der Geschädigten, wurden dem Beschwer- deführer zur Hälfte auferlegt und im Übrigen auf die Staatskasse genommen (KG act. 2).</w:t>
      </w:r>
    </w:p>
    <w:p>
      <w:r>
        <w:rPr>
          <w:b/>
        </w:rPr>
        <w:t>E. 4</w:t>
      </w:r>
    </w:p>
    <w:p>
      <w:r>
        <w:t>Gegen dieses obergerichtliche Urteil richtet sich die vorliegende, rechtzeitig angemeldete (KG act. 6) und begründete Nichtigkeitsbeschwerde (KG act. 1, OG act. 75). Der Beschwerdeführer beantragt Aufhebung des vorinstanzli- chen Urteils und Rückweisung zur Neubeurteilung, unter Kosten- und Entschädi- gungsfolgen zulasten des Kantons Zürich. Die Staatsanwaltschaft und die Vorin- stanz verzichten auf Vernehmlassung (KG act. 11, 12). Die Geschädigte bean- tragt Abweisung der Nichtigkeitsbeschwerde; die Kosten des Verfahrens, inklusi- ve diejenigen der Geschädigtenvertretung, seien dem Beschwerdeführer aufzu- erlegen. Sodann stellt sie ein Gesuch um unentgeltliche Rechtsvertretung (KG act. 13).</w:t>
      </w:r>
    </w:p>
    <w:p>
      <w:r>
        <w:t>- 4 -</w:t>
      </w:r>
    </w:p>
    <w:p>
      <w:r>
        <w:rPr>
          <w:b/>
        </w:rPr>
        <w:t>E. 5</w:t>
      </w:r>
    </w:p>
    <w:p>
      <w:r>
        <w:t>Nach dem Gesagten verletzte die Vorinstanz das rechtliche Gehör des Beschwerdeführers zumindest in einem Punkt, indem sie die entsprechen- den, konkreten Hinweise auf das Eheschutzverfahren nicht beachtete. Schon aus diesem Grund ist die Beschwerde gutzuheissen, und die Sache ist zur weiteren Veranlassung an die Vorinstanz zurückzuweisen. Es erübrigt sich damit, zu prü- fen, ob die Vorinstanz im Zusammenhang mit dem Antrag auf Beizug der Ehe- schutzakten noch weitere Vorbringen missachtete. Ebenso erübrigt es sich, auf die zusätzlich erhobenen Willkürrügen (KG act. 1 S. 12 ff.) einzugehen. Lediglich der Vollständigkeit halber sei angemerkt, dass sich aus der Beschwerdeschrift weitere Zusammenhänge zum Eheschutzverfahren ergeben. So macht der Beschwerdeführer beispielsweise geltend, er selber habe das Ehe- schutzverfahren initiiert, so dass es unlogisch sei, dass er die Geschädigte zur Rückkehr genötigt haben solle (KG act. 1 S. 16-17). Sodann gehe aus den Ehe- schutzakten hervor, dass es Probleme mit dem Besuchsrecht gegeben habe und er noch Kleider bei der Geschädigten gehabt habe. Dies sei der Grund für seine vielen Anrufe gewesen. Entgegen der Ansicht der Vorinstanz habe er diesbezüg- lich nicht die Hilfe seiner Rechtsvertreterin in Anspruch nehmen können; aus den Eheschutzakten wäre nämlich hervorgegangen, dass sich das Mandat seiner</w:t>
      </w:r>
    </w:p>
    <w:p>
      <w:r>
        <w:t>- 9 - Rechtsvertreterin nur auf das Eheschutzverfahren an sich bezogen habe (KG act. 1 S. 17-19). II I. Ausgangsgemäss sind die Kosten des Kassationsverfahrens, inklusive diejenigen der amtlichen Verteidigung und der Verbeiständung der Geschädigten, auf die Gerichtskasse zu nehmen (§§ 396a, 10 Abs. 4 StPO; KG act. 14/3). Das Gericht beschliesst: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