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AA100084 vom 12. April 2011</w:t>
      </w:r>
    </w:p>
    <w:p>
      <w:r>
        <w:t>Zh Kassationsgericht, 2011-04-12, DE</w:t>
      </w:r>
    </w:p>
    <w:p>
      <w:r>
        <w:rPr>
          <w:b/>
        </w:rPr>
        <w:t xml:space="preserve">Quelle: </w:t>
      </w:r>
      <w:r>
        <w:t>https://mcp.opencaselaw.ch/entscheid/zh_kassationsgericht_AA100084</w:t>
      </w:r>
    </w:p>
    <w:p>
      <w:r>
        <w:t>FR: ZH_KASSATIONSGERICHT AA100084 du 12 avril 2011</w:t>
      </w:r>
    </w:p>
    <w:p>
      <w:r>
        <w:t>IT: ZH_KASSATIONSGERICHT AA100084 del 12 aprile 2011</w:t>
      </w:r>
    </w:p>
    <w:p>
      <w:pPr>
        <w:pStyle w:val="Heading2"/>
      </w:pPr>
      <w:r>
        <w:t>Erwägungen</w:t>
      </w:r>
    </w:p>
    <w:p>
      <w:r>
        <w:rPr>
          <w:b/>
        </w:rPr>
        <w:t>E. 1</w:t>
      </w:r>
    </w:p>
    <w:p>
      <w:r>
        <w:t>Im Vollstreckungsbescheid des Amtsgerichts Stuttgart vom 27. März 2007 machte der Kläger, Rekurrent und Beschwerdeführer (nachfolgend Be- schwerdeführer) Anwaltshonorar im Betrag von EUR x'xxx.xx, Kosten von EUR yy.yy, aufgelaufenen sowie laufenden Zins geltend. Mit Befehl vom 5. Mai 2009 belegte der Arrestrichter des Bezirkes O auf Begehren des Beschwerdefüh- rers sämtliche bestehenden und künftigen Lohnansprüche sowie sonstigen Forde- rungen des Beklagten, Rekursgegners und Beschwerdegegners (nachfolgend Beschwerdegegner) bei seiner Arbeitgeberin in O bis zur Deckung der Arrestfor- derung von Fr. z'zzz.zz (EUR ... zum Kurs von 1.55) nebst Zins zu 5% seit 8. Au- gust 2006 und Kosten mit Arrest. In der vom Beschwerdeführer gegen den Be- schwerdegegner anschliessend angehobenen Prosequierungsbetreibung Nr. ... erliess das Betreibungsamt O am 19. Mai 2009 den Zahlungsbefehl über Fr. z'zzz.zz zuzüglich Zins zu 5% seit 8. August 2006 und Kosten. Am 2. Juni 2009 erhob der Beschwerdegegner Rechtsvorschlag, worauf der Beschwerdefüh- rer am 9. Juni 2009 beim Einzelrichter im summarischen Verfahren des Bezirkes O um Erteilung der definitiven, ev. der provisorischen Rechtsöffnung ersuchte. Mit Verfügung vom 23. September 2009 wurde das Verfahren bis zum Vorliegen des Rekursentscheides betreffend Arresteinsprache sistiert und der Beschwerdegeg- ner zur Bezeichnung eines Zustellungsempfängers in der Schweiz verpflichtet. Nachdem das Obergericht auf den Rekurs gegen die die Arresteinsprache abwei- sende Verfügung nicht eingetreten war, wurden die Parteien auf den 30. April 2010 zu einer Verhandlung vorgeladen. Nach deren Durchführung wies der Ein- zelrichter das Rechtsöffnungsbegehren ab. Gegen diesen Entscheid erhob der Beschwerdeführer Rekurs ans Obergericht, welchen dieses mit Beschluss vom 2. Juli 2010 abwies (angefochtener Entscheid = KG act. 2 S. 2 ff.).</w:t>
      </w:r>
    </w:p>
    <w:p>
      <w:r>
        <w:rPr>
          <w:b/>
        </w:rPr>
        <w:t>E. 2</w:t>
      </w:r>
    </w:p>
    <w:p>
      <w:r>
        <w:t>Mit Blick auf die Zulässigkeit der erhobenen Rügen bzw. die Prüfungs- befugnis des Kassationsgerichts ist § 285 ZPO ZH zu beachten. Danach ist die kantonale Nichtigkeitsbeschwerde unzulässig, soweit der angefochtene Entscheid dem Weiterzug an das Bundesgericht unterliegt und dieses mit freier Kognition überprüfen kann, ob der geltend gemachte Mangel vorliegt. Im konkreten Fall handelt es sich um eine vermögensrechtliche Streitigkeit. Vor der Vorinstanz wa- ren Fr. z'zzz.zz streitig geblieben (vgl. oben I.1). Damit ist die in Art. 74 Abs. 1 lit. b BGG festgehaltene Streitwertgrenze von Fr. 30'000. – - welche auch auf dem Gebiet des Schuldbetreibungs- und Konkursrechts zur Anwendung kommt (BSK BGG-Rudin, Bundesgerichtsgesetz, Basel 2008, N 8 zu Art. 74) - nicht erreicht. Eine Beschwerde in Zivilsachen im Sinne von Art. 72 BGG wäre demnach nur zu- lässig, wenn sich eine Rechtsfrage von grundsätzlicher Bedeutung stellte (Art. 74 Abs. 2 lit. a BGG). Davon ist bei den vom Beschwerdeführer vorgetragenen Rü- gen für das vorliegende Verfahren nicht auszugehen (für das bundesgerichtliche Verfahren würde das Bundesgericht darüber auf entsprechende Vorbringen selbstverständlich selbständig entscheiden). Verfassungsmässige Rügen, welche das Bundesgericht im Rahmen einer subsidiären Verfassungsbeschwerde nach Art. 113 BGG frei prüfen würde und bezüglich welcher die Nichtigkeitsbeschwerde nicht gestützt auf § 285 Abs. 2 ZPO ZH ausdrücklich zulässig wäre, trägt der Be- schwerdeführer in der vorliegenden Nichtigkeitsbeschwerde keine vor. § 285 ZPO ZH steht der Beurteilung der Beschwerde durch das Kassationsgericht demnach nicht entgegen.</w:t>
      </w:r>
    </w:p>
    <w:p>
      <w:r>
        <w:t>- 5 -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