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AA090080 vom 10. Juni 2010</w:t>
      </w:r>
    </w:p>
    <w:p>
      <w:r>
        <w:t>Zh Kassationsgericht, 2010-06-10, DE</w:t>
      </w:r>
    </w:p>
    <w:p>
      <w:r>
        <w:rPr>
          <w:b/>
        </w:rPr>
        <w:t xml:space="preserve">Quelle: </w:t>
      </w:r>
      <w:r>
        <w:t>https://mcp.opencaselaw.ch/entscheid/zh_kassationsgericht_AA090080</w:t>
      </w:r>
    </w:p>
    <w:p>
      <w:r>
        <w:t>FR: ZH_KASSATIONSGERICHT AA090080 du 10 juin 2010</w:t>
      </w:r>
    </w:p>
    <w:p>
      <w:r>
        <w:t>IT: ZH_KASSATIONSGERICHT AA090080 del 10 giugno 2010</w:t>
      </w:r>
    </w:p>
    <w:p>
      <w:pPr>
        <w:pStyle w:val="Heading2"/>
      </w:pPr>
      <w:r>
        <w:t>Erwägungen</w:t>
      </w:r>
    </w:p>
    <w:p>
      <w:r>
        <w:rPr>
          <w:b/>
        </w:rPr>
        <w:t>E. 1</w:t>
      </w:r>
    </w:p>
    <w:p>
      <w:r>
        <w:t>Die Parteien sind verheiratet. Am 27. November 2006 reichte die Beschwerdegegnerin beim Bezirksgericht _________ ein Eheschutzbegehren ein (ER act. 1). Mit Verfügung vom 10. September 2007 stellte die Einzelrichterin im summarischen Verfahren des Bezirkes _________ fest, dass die Parteien zum Getrenntleben berechtigt sind, und regelte dessen rechtliche Folgen im Sinne von Art. 176 ZGB (ER act. 75). Gegen diese Verfügung reichten beide Parteien je einen Rekurs beim Obergericht des Kantons Zürich ein (OG act. 2, act. 72/2). Mit Beschluss vom 21. April 2009 verpflichtete das Obergericht (dessen I. Zivil- kammer) den Beschwerdeführer, der Beschwerdegegnerin monatliche Unter- haltsbeiträge von Fr. 754.60 für den Februar 2007, Fr. 1'435.40 vom 1. März 2007 bis 31. Mai 2007, Fr. 1'095.-- vom 1. Juni 2007 bis 31. Juli 2007, Fr. 3'695.--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