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AA090046 vom 25. Mai 2010</w:t>
      </w:r>
    </w:p>
    <w:p>
      <w:r>
        <w:t>Zh Kassationsgericht, 2010-05-25, DE</w:t>
      </w:r>
    </w:p>
    <w:p>
      <w:r>
        <w:rPr>
          <w:b/>
        </w:rPr>
        <w:t xml:space="preserve">Quelle: </w:t>
      </w:r>
      <w:r>
        <w:t>https://mcp.opencaselaw.ch/entscheid/zh_kassationsgericht_AA090046</w:t>
      </w:r>
    </w:p>
    <w:p>
      <w:r>
        <w:t>FR: ZH_KASSATIONSGERICHT AA090046 du 25 mai 2010</w:t>
      </w:r>
    </w:p>
    <w:p>
      <w:r>
        <w:t>IT: ZH_KASSATIONSGERICHT AA090046 del 25 maggio 2010</w:t>
      </w:r>
    </w:p>
    <w:p>
      <w:pPr>
        <w:pStyle w:val="Heading2"/>
      </w:pPr>
      <w:r>
        <w:t>Erwägungen</w:t>
      </w:r>
    </w:p>
    <w:p>
      <w:r>
        <w:rPr>
          <w:b/>
        </w:rPr>
        <w:t>E. 1</w:t>
      </w:r>
    </w:p>
    <w:p>
      <w:r>
        <w:t>a) Der Kläger (nachfolgend Beschwerdeführer), ein Branchenverband der Schweizer Hotellerie, verwendete erstmals 1979 Sterne für die Klassifizierung ihm angeschlossener Hotels. Seit etwa November 2004 bietet der Beschwerde- führer seine (entgeltliche) Klassifizierung auch Nichtmitgliedern an. Die diesbe- züglichen Garantiemarken des Beschwerdeführers sind unter den Nummern 531 266 bis 531 269 und der Nummer 531 250 eingetragen (KG act. 2 S. 2). b) Der Beschwerdeführer und der Beklagte (nachfolgend Beschwerde- gegner, ebenfalls ein Verein der Hotellerie/Gastronomie) führten seit etwa dem Jahre 2003 Gespräche über die Frage, wie die über 60% der nicht klassifizierten Betriebe, vornehmlich kleinere oder mittlere Beherbergungsstätten, ins oder in ein Klassifikationssystem eingeordnet werden könnten. Zu einer gemeinsamen Lö- sung kam es nicht (KG act. 2 S. 2 f.). c) Am 8. November 2005 hinterlegte der Beschwerdegegner zehn Wort-/ Bildmarken mit den Nummern 541 117 bis 541 126. Er plante bzw. plant, unter Verwendung dieser Zeichen ein eigenes Klassifzierungssystem einzurich- ten. In der Folge leitete der Beschwerdeführer ein Massnahmeverfahren (HE060002) vor dem Handelsgericht Zürich ein (KG act. 2 S. 5 f.). d) Mit Verfügung vom 29. Mai 2006 verbot der Einzelrichter am Han- delsgericht des Kantons Zürich dem Beschwerdegegner vorsorglich, "im Zusam- menhang mit der Bewertung von Beherbergungseinrichtungen Sterne – sei es in Alleinstellung oder in Kombination mit weiteren Elementen – zu verwenden, Dritte mit solchen Sternen auszuzeichnen oder solche Sterne, seien diese selbst oder von Dritten genutzt, zu bewerben oder Dritten den Gebrauch seiner CH-Marken 541 117 bis 541 126 zu gestatten" (vgl. angefochtener Entscheid, KG act. 2 S. 6).</w:t>
      </w:r>
    </w:p>
    <w:p>
      <w:r>
        <w:t>- 3 - e) Mit Beschluss vom 6. Februar 2009 (KG act. 2) hob das Handelsge- richt des Kantons Zürich (fortan Vorinstanz) diese vorsorglichen Massnahmen wieder auf und wies mit Urteil gleichen Datums die Klage des Beschwerdeführers ab, mit der dieser dem Beschwerdegegner im Zusammenhang mit der Bewertung von Beherbergungseinrichtungen die Verwendung von Sternen bzw. eventualiter der beklagtischen Zeichen entsprechend den Marken Nummern 541 117 bis 541 126 untersagen und die Marken Nummern 541 117 bis 541 126 für nichtig er- klären lassen wollte (KG act. 2 S. 7 und S. 33).</w:t>
      </w:r>
    </w:p>
    <w:p>
      <w:r>
        <w:rPr>
          <w:b/>
        </w:rPr>
        <w:t>E. 2</w:t>
      </w:r>
    </w:p>
    <w:p>
      <w:r>
        <w:t>Bevor im Einzelnen auf die in der Beschwerdeschrift erhobenen Rügen eingegangen wird, ist auf die besondere Natur des Beschwerdeverfahrens hinzu- weisen. Dieses stellt keine Fortsetzung des Verfahrens vor dem Sachrichter (mit umfassender Prüfungsbefugnis und Prüfungspflicht der Rechtsmittelinstanz be- züglich des gesamten Prozessstoffes sowohl in rechtlicher wie auch tatsächlicher Hinsicht) dar. Zu prüfen ist vielmehr (allein), ob der mit der Beschwerde angefoch- tene Entscheid aufgrund des bei der Vorinstanz gegebenen Aktenstandes an ei- nem Nichtigkeitsgrund im Sinne von § 281 Ziff. 1 - 3 ZPO leidet. Dabei muss der Nichtigkeitskläger den behaupteten Nichtigkeitsgrund in der Beschwerdeschrift selbst nachweisen (§ 288 Abs. 1 Ziff. 3 ZPO), wobei neue tatsächliche Behaup- tungen, Einreden, Bestreitungen und Beweise, die eine Vervollständigung des Prozessstoffes bezwecken, über welchen der erkennende Richter zu entscheiden hatte, im Beschwerdeverfahren (selbst bei Vorliegen der Voraussetzungen von § 115 ZPO) nicht zulässig sind (sog. Novenverbot; vgl. Frank/ Sträuli/ Messmer, Kommentar zur zürcherischen Zivilprozessordnung, 3. Auflage, Zürich 1997, N 4a zu § 288 [und N 7b zu § 115]); gemäss § 290 ZPO werden lediglich die geltend gemachten Nichtigkeitsgründe überprüft (sog. Rügeprinzip).</w:t>
      </w:r>
    </w:p>
    <w:p>
      <w:r>
        <w:rPr>
          <w:b/>
        </w:rPr>
        <w:t>E. 3</w:t>
      </w:r>
    </w:p>
    <w:p>
      <w:r>
        <w:t>Um den ihm obliegenden Nachweis zu erbringen, hat sich der Nichtig- keitskläger konkret mit dem angefochtenen Entscheid und den darin enthaltenen,</w:t>
      </w:r>
    </w:p>
    <w:p>
      <w:r>
        <w:t>- 5 - den Entscheid tragenden Erwägungen auseinanderzusetzen und hierbei darzule- 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allenfalls die eigene, abweichende Ansicht entgegenge- stellt) wird. Vielmehr sind in der Beschwerdebegründung insbesondere die ange- fochtenen Stellen des vorinstanzlichen Entscheids genau zu bezeichnen und die- jenigen Aktenstellen, aus denen sich ein Nichtigkeitsgrund ergeben soll, im Ein- zelnen anzugeben. In diesem Sinne muss beispielsweise, wer die vorinstanzliche Beweiswürdigung als willkürlich rügt, in der Beschwerde genau darlegen, welche tatsächlichen Annahmen des angefochtenen Entscheides auf Grund welcher (präzis zu nennenden) Aktenstellen willkürlich sein sollen, wobei es hiefür insbe- sondere nicht ausreicht, tatsächliche Annahmen der Vorinstanz bloss zu bestrei- ten oder der vorinstanzlichen Beweiswürdigung einfach die eigene Meinung ge- genüberzustellen. Es ist mithin nicht Sache der Kassationsinstanz, in den vo- rinstanzlichen Akten nach den Grundlagen des geltend gemachten (oder gar ei- nes anderen möglichen) Nichtigkeitsgrundes zu suchen (einlässlich zum Ganzen von Rechenberg, Die Nichtigkeitsbeschwerde in Zivil- und Strafsachen nach zür- cherischem Recht, 2. Auflage, Zürich 1986, S. 16 ff.; Spühler/ Vock, Rechtsmittel in Zivilsachen im Kanton Zürich und im Bund, Zürich 1999, S. 56 f. und S. 72 f.; s.a. Frank/ Sträuli/ Messmer, a.a.O., N 4 zu § 288). Soweit die Beschwerde oder ein- zelne der darin erhobenen Rügen diese Begründungsanforderungen nicht erfül- len, kann auf die entsprechenden Vorbringen nicht eingetreten werden.</w:t>
      </w:r>
    </w:p>
    <w:p>
      <w:r>
        <w:rPr>
          <w:b/>
        </w:rPr>
        <w:t>E. 4</w:t>
      </w:r>
    </w:p>
    <w:p>
      <w:r>
        <w:t>Die Subsumtion unter den zutreffenden Nichtigkeitsgrund von § 281 ZPO ist Aufgabe des Gerichts; die Anrufung eines unrichtigen Nichtigkeitsgrundes schadet dem Nichtigkeitskläger daher nicht (Frank/ Sträuli/ Messmer, a.a.O., N 4 zu § 288).</w:t>
      </w:r>
    </w:p>
    <w:p>
      <w:r>
        <w:rPr>
          <w:b/>
        </w:rPr>
        <w:t>E. 5</w:t>
      </w:r>
    </w:p>
    <w:p>
      <w:r>
        <w:t>a) Der Beschwerdeführer macht sodann geltend, die Schlussfolgerung der Vorinstanz, wonach in Bezug auf die Klassifikation von Beherbergungsbetrie- ben für die Verwendung von Sternen ein absolutes Freihaltebedürfnis bestehe, beruhe auf aktenwidrigen und willkürlichen Sachverhaltsannahmen. Die Vorin- stanz unterschlage, dass der Beschwerdegegner die sogenannten "Hot-C-" oder die "1 bis 5 Category-Marken" verwende. Die Lancierung dieser Zeichen bezeich- ne der Beschwerdegegner als grossen Erfolg, wie etliche Titel seiner Publikatio- nen zeigen würden. Auch der Direktor des Beschwerdegegners bezeichne die eigene "C-Klassifikation" als Erfolg. Mit den Worten "Mit den Sternen wäre es ein- facher" bestätige er, dass es auch ohne Sterne gehe. Die Vorinstanz setze sich mit der Behauptung eines absoluten Freihaltebedürfnisses willkürlich in Wider- spruch zum Beweisergebnis (KG act. 1 Ziff. 3.4). b) Soweit es bei dieser Rüge des Beschwerdeführers um die Frage geht, ob für Sterne im Zusammenhang mit der Bewertung von Beherbergungs- dienstleistungen ein absolutes Freihaltebedürfnis besteht bzw. ob dieses zu Recht bejaht wurde, handelt es sich um eine vom hiesigen Gericht nicht zu prüfende Bundesrechtsanwendung. Darauf ist nicht einzutreten (vgl. oben Ziff. II.5). c) Soweit der Beschwerdeführer die vorinstanzliche Beweiswürdigung als willkürlich rügt ("aktenwidrige und willkürliche Sachverhaltsannahmen"), führt dieser zwar aus, auf Grund welcher Aktenstellen die Beweiswürdigung der Vorin- stanz willkürlich sein solle. Er legt jedoch in der Beschwerde nicht dar, welche tat- sächliche Annahme des angefochtenen Entscheides willkürlich sein solle (die Be-</w:t>
      </w:r>
    </w:p>
    <w:p>
      <w:r>
        <w:t>- 17 - jahung des absoluten Freihaltebedürfnisses in Bezug auf die Verwendung von Sternen zur Klassifizierung von Beherbergungseinrichtungen durch die Vorinstanz stellt keine tatsächliche Annahme, sondern eine rechtliche Würdigung dar). Damit ist auf die Rüge der aktenwidrigen und willkürlichen Sachverhaltsannahmen nicht weiter einzutreten.</w:t>
      </w:r>
    </w:p>
    <w:p>
      <w:r>
        <w:rPr>
          <w:b/>
        </w:rPr>
        <w:t>E. 6</w:t>
      </w:r>
    </w:p>
    <w:p>
      <w:r>
        <w:t>a) In einer nächsten Rüge bringt der Beschwerdeführer vor, die Be- hauptung der Vorinstanz, es würden erhebliche optische Unterschiede zwischen den sich gegenüberstehenden Zeichen des Beschwerdeführers und des Be- schwerdegegners bestehen, werde mit dazu im Widerspruch stehenden, falschen und damit willkürlichen Sachverhaltsannahmen begründet. Die Vorinstanz führe auf Seite 28 ihres Entscheids aus, dass die Zeichen des Beschwerdegegners ei- nen "runden" Eindruck hinterliessen. Das werde aber durch die auf Seite 5 des angefochtenen Entscheids wiedergegebene Marke [Anmerkung des Kassations- gerichts: des Beschwerdegegners] widerlegt. Aus dieser Darstellung gehe hervor, dass die Marken des Beschwerdegegners von einem viereckigen Rahmen um- fasst würden. Zudem sei der Beschwerdeführer dem behaupteten "runden" Ein- druck bereits in der Replik entgegengetreten; die Behauptung eines runden Ein- druckes sei tatsachenwidrig. Ebenso sei die Aussage, wonach Namen und Logo des Beschwerde- gegners in dessen Zeichen unterscheidend wirkten, schlicht unvertretbar, mithin willkürlich. Hier negiere die Vorinstanz die Grössenverhältnisse zwischen den Worten "Hotel" oder "Garni", dem Stern oder den Sternen, dem Schweizerkreuz sowie dem klein gehaltenen Namen und Logo des Beschwerdegegners (KG act. 1 Ziff. 3.5 erster Teil). b) Willkür in der Beweiswürdigung (§ 281 Ziff. 2 ZPO) liegt nur vor, wenn der vom Sachrichter gezogene Schluss für einen unbefangen Denkenden als unhaltbar erscheint. Eine vertretbare Beweiswürdigung ist daher noch nicht willkürlich, auch wenn die Kassationsinstanz an der Stelle des Sachrichters allen- falls anders entschieden hätte (vgl. von Rechenberg, a.a.O., S. 28).</w:t>
      </w:r>
    </w:p>
    <w:p>
      <w:r>
        <w:t>- 18 - Namentlich genügt es grundsätzlich auch nicht, wenn in appellatori- scher Weise lediglich die eigene Sicht der Dinge losgelöst von den vorinstanzli- chen Erwägungen dargelegt bzw. diesen einfach gegenübergestellt und behaup- tet wird, die Auffassung des Sachrichters sei willkürlich. Denn eine vertretbare Beweiswürdigung ist nicht willkürlich, selbst wenn eine gegenteilige Sichtweise ebenfalls vertretbar wäre. Eine substanziierte Rüge bedingt daher, dass im Ein- zelnen erklärt wird, inwiefern die im angefochtenen Entscheid effektiv angestellten Überlegungen willkürlich sein sollen. Wird Aktenwidrigkeit einer tatsächlichen An- nahme behauptet, so sind ebenfalls die Bestandteile der Akten, die nicht oder nicht in ihrer wahren Gestalt in die Beweiswürdigung einbezogen worden sein sol- len, genau anzugeben. c) Der Beschwerdeführer stellt die Richtigkeit der vorinstanzlichen Auf- fassung in Abrede und stellt dieser in appellatorischer Kritik die eigene, abwei- chende Würdigung entgegen. Die Vorinstanz hat den Akteninhalt vorliegend je- doch auf jeden Fall nicht in derart unvertretbarer Weise gewürdigt, dass der von ihr gezogene Schluss des Hinterlassens eines "runden" Eindruckes für einen un- befangen Denkenden als unhaltbar erscheinen würde. Ausserdem hat die Vorin- stanz die Grössenverhältnisse nicht negiert, sondern diesen im Rahmen der Be- weiswürdigung lediglich einen anderen, geringeren Stellenwert beigemessen, als dies der Beschwerdeführer tun will. Damit ist auch der Schluss der Vorinstanz, dass Namen und Logo des Beschwerdegegners in dessen Zeichen unterschei- dend wirken würden, nicht unhaltbar. d) Der Beschwerdeführer rügt im zweiten Absatz von Ziffer 3.5 der Be- schwerdeschrift überdies Folgendes: Mit den Ausführungen im ersten Absatz von Ziffer 3.5 [Anmerkung des Kassationsgerichts: siehe oben lit. a] sei auch der Feststellung der Vorinstanz in Ziffer IV.2 lit. c, wonach der Beschwerdegegner seine Zeichen mit seinem Logo versehen und damit das Zumutbare getan habe, um sich vom Beschwerdeführer abzugrenzen, die Grundlage entzogen. Damit sei auch diese Aussage als aktenwidrige und willkürliche Sachverhaltsannahme qua- lifiziert. Ebenso sei aus dieser Optik die Aussage in Ziffer IV.2 lit. e, Seite 31, des vorinstanzlichen Entscheids unhaltbar, wonach der Durchschnittsverbraucher in</w:t>
      </w:r>
    </w:p>
    <w:p>
      <w:r>
        <w:t>- 19 - den angefochtenen Marken den Namen und das Logo des Beschwerdegegners erkennen werde. e) Ob der Beschwerdegegner mit dem Versehen der Zeichen mit sei- nem Logo das Zumutbare getan habe, um sich vom Beschwerdeführer abzugren- zen, ist eine Frage der rechtlichen Würdigung und somit der Anwendung von Bundesrecht. Darauf kann im vorliegenden Verfahren nicht eingetreten werden (vgl. oben Ziff. II.5). f) Weiter rügt der Beschwerdeführer wie gesagt die Feststellung der Vorinstanz, wonach der verständige und aufmerksame Durchschnittsverbraucher durchaus erkennen könne, dass wenn der Beklagte unter seinem Namen und Lo- go ein Bewertungssystem präsentiere, dieses nichts mit dem Kläger zu tun habe, als aktenwidrig und willkürlich. Die Feststellung sei "aus dieser Optik" unhaltbar. Mit "aus dieser Optik" verweist der Beschwerdeführer vermutlich auf seine Aus- führungen weiter oben in Ziffer 3.5, wonach das Logo des Beschwerdegegners sehr klein gehalten sei und demnach nicht eine "relevante Unterscheidung her- stellen" könne. Wie bereits in lit. c ausgeführt, ist der Schluss der Vorinstanz, dass Namen und Logo des Beschwerdegegners in dessen Zeichen unterscheidend wirken würden, nicht unhaltbar. Damit basiert diese Willkürrüge auf einer bereits behandelten Rüge, mit welcher der Beschwerdeführer nicht durchdringt. Im Übri- gen ist der Einwand des Beschwerdeführers auch sonst nicht geeignet, einen Nichtigkeitsgrund darzutun. Mit dem Hinweis, dass das Logo des Beschwerde- gegners in dessen Zeichen sehr klein gehalten sei, lässt sich im Hinblick auf die betreffende vorinstanzliche Erwägung weder eine aktenwidrige noch eine willkür- liche Feststellung belegen. Damit geht die Rüge des Beschwerdeführers fehl.</w:t>
      </w:r>
    </w:p>
    <w:p>
      <w:r>
        <w:rPr>
          <w:b/>
        </w:rPr>
        <w:t>E. 7</w:t>
      </w:r>
    </w:p>
    <w:p>
      <w:r>
        <w:t>a) Auf Seite 29 des angefochtenen Entscheids – so der Beschwerde- führer weiter – führe die Vorinstanz aus, dass der Durchschnittsverbraucher sein Augenmerk – so ihn das überhaupt interessiere – vermehrt auf die Herkunft der Bewertung richten werde. Mit dieser Feststellung setze sich die Vorinstanz jedoch in aktenwidriger Weise über das Beweisergebnis hinweg: So habe sich der Präsi-</w:t>
      </w:r>
    </w:p>
    <w:p>
      <w:r>
        <w:t>- 20 - dent des Beschwerdegegners in HG act. 3/5 wie folgt geäussert: "Wir müssen aufhören, von zwei Systemen zu sprechen. Ein Stern ist ein Stern. Der Gast inte- ressiert sich dafür, wie viele Sterne eine Unterkunft hat. Ihn kümmert nicht, wer die Sterne vergeben hat." Das Handelsgericht unterschlage diese Aussage und damit die Absicht des Beschwerdegegners, die Herkunft der Sternenklassifikation nicht bekannt zu geben. Allein aufgrund der tatsachenwidrigen und willkürlichen Annahme habe die Vorinstanz das Vorliegen einer lauterkeitsrechtlich relevanten Marktverwirrung und Verwässerung der Sternensymbole des Beschwerdeführers verneint (KG act. 1 Ziff. 3.6). Das Handelsgericht habe es in der Folge unterlas- sen, zu prüfen, was die Folgen wären, falls der Durchschnittsverbraucher sein Augenmerk nun gerade nicht auf die Herkunft der Bewertung richte. b) Die Vorinstanz führte aus, dass es – wie in der markenrechtlichen Diskussion dargelegt – erstellt sei, dass verschiedenste andere Marktteilnehmer Sterne benutzen oder verleihen würden. Somit werde der durchschnittlich infor- mierte, aufmerksame und verständige Durchschnittsverbraucher beim Bestehen paralleler, sich des Sternensymbols bedienender Bewertungssysteme sein Au- genmerk – so ihn das überhaupt interessiere – vermehrt auf die Herkunft der Be- wertung richten (KG act. 2 S. 29). Damit (also mit der Begründung, dass verschiedenste andere Markt- teilnehmer Sterne benutzen oder verleihen würden, weshalb der Durchschnitts- verbraucher sein Augenmerk auf die Herkunft der Bewertung richten werde) setzt sich der Beschwerdeführer nicht auseinander. Die Vorinstanz hat ausserdem die entsprechende Aussage in HG act. 3/5, einem Interview mit dem Präsidenten des Beschwerdegegners, wohl gerade nicht übersehen. So erwähnte sie nämlich, dass den Durchschnittsverbraucher die Herkunft der Sterne allenfalls gar nicht in- teressieren werde (und somit genau das, was in HG act. 3/5 ausgeführt wird). Dem Beschwerdeführer gelingt es jedenfalls mit seiner Kritik und seinem Hinweis auf die Aussage in HG act. 3/5 nicht, die Aktenwidrigkeit bzw. Willkürlichkeit der gerügten vorinstanzlichen Feststellung darzutun. Welche rechtlichen Folgen dar- aus zu ziehen sind (ob die Vorinstanz das "Vorliegen einer lauterkeitsrechtlich re- levanten Marktverwirrung und Verwässerung der Sternensymbole des Beschwer-</w:t>
      </w:r>
    </w:p>
    <w:p>
      <w:r>
        <w:t>- 21 - deführers" zurecht verneinte), ist der Prüfung im vorliegenden Verfahren wie be- reits mehrfach ausgeführt entzogen.</w:t>
      </w:r>
    </w:p>
    <w:p>
      <w:r>
        <w:rPr>
          <w:b/>
        </w:rPr>
        <w:t>E. 8</w:t>
      </w:r>
    </w:p>
    <w:p>
      <w:r>
        <w:t>a) Weiter rügt der Beschwerdeführer was folgt: Aufgrund der bundes- rechtswidrigen Annahme, eine lauterkeitsrechtlich relevante Irreführung oder Täu- schung des Publikums sei nur gegeben, falls diese krass ausfalle, habe die Vorin- stanz auf Seite 30 ihres Entscheids eine Auseinandersetzung mit der Qualität der Klassifikationssysteme der beiden Parteien als entbehrlich erachtet. Dabei über- sehe die Vorinstanz, dass die Täuschung und Irreführung des Publikums durch die Verwendung der gleichen Sternensymbole a priori ermöglicht werde, weshalb der Beschwerdeführer in Anwendung von Art. 29 und 9 BV Anspruch auf eine ma- terielle, vergleichende Beurteilung der Klassifikationssysteme beider Parteien ha- be (KG act. 1 Ziff. 3.7). b) Die Vorbringen in dieser Rüge erschöpfen sich weitgehend in einer behaupteten Verletzung von Bundesrecht (wozu auch das Bundesverfassungs- recht gehört), was eine Überprüfung derselben im vorliegenden Beschwerdever- fahren nach § 285 ZPO ausschliesst (vgl. dazu auch oben Ziff. II.5): Die richtige Anwendung der Bestimmungen des Bundesgesetzes ge- gen den unlauteren Wettbewerb (so z.B. von Art. 2 und 3 lit. b, d und e UWG) überprüft das Bundesgericht im Verfahren der Beschwerde in Zivilsachen mit frei- er Kognition. Soweit der Beschwerdeführer diese bundesrechtlichen Bestimmun- gen als verletzt rügen möchte, kann auf die Vorbringen nicht eingetreten werden. Ebenfalls nicht eingetreten werden kann auf die Rüge, soweit der Be- schwerdeführer eine Verletzung der Art. 29 und Art. 9 BV geltend macht (wobei aus der Beschwerde nicht rechtsgenügend hervorgeht, wodurch und inwiefern welche Aspekte von Art. 9 und Art. 29 BV verletzt sein sollen, womit die Rüge be- reits mangels Substanziierung als den formellen Anforderungen nicht genügend bezeichnet werden muss). § 285 Abs. 2 Satz 2 ZPO erklärt zwar die kantonale Nichtigkeitsbe- schwerde (u.a.) für stets zulässig, wenn eine Verletzung von Art. 9 oder Art. 29</w:t>
      </w:r>
    </w:p>
    <w:p>
      <w:r>
        <w:t>- 22 - BV geltend gemacht wird. Nach ständiger Praxis des Kassationsgerichts ist die Nichtigkeitsbeschwerde aber ungeachtet des (die ratio der Bestimmung nur unzu- reichend wiedergebenden) Wortlauts von § 285 Abs. 2 Satz 2 ZPO auch dann ausgeschlossen, wenn in der Beschwerde eine qualifiziert unrichtige Anwendung von Bundesrecht unter Anrufung von Art. 9 BV (Willkürverbot) geltend gemacht wird (vgl. ZR 105 Nr. 10, Erw. III.2.b; ZR 106 Nr. 50, Erw. II.4.g). Die hinsichtlich der Rüge der willkürlichen Anwendung von Bundesrecht entwickelte Rechtspre- chung gilt überdies auch für den Fall, dass – wie vorliegend der Fall – Art. 29 BV angerufen wird. Auch eine solchermassen beanstandete Anwendung des Bun- desrechts stellt eine Verletzung desselben (im Sinne von Art. 95 lit. a BGG) dar. Da dieser Mangel mit der zivilrechtlichen Beschwerde vor Bundesgericht geltend gemacht werden kann und dieses denselben mit freier Prüfungsbefugnis über- prüft, kann wie gesagt auch auf diesen Beschwerdepunkt nicht eingetreten wer- den. Ob im Übrigen eine Tatsache (z.B. Qualität der Klassifikationssysteme) im Rahmen der Rechtsanwendung rechtlich von Bedeutung, d.h. erheblich ist, bil- det eine Rechtsfrage. Sie kann in Fällen, in welchen (wie vorliegend) bundes- rechtliche Ansprüche zu prüfen sind, dem Bundesgericht im Verfahren der Be- schwerde in Zivilsachen unterbreitet werden (Art. 72 ff. BGG; § 285 ZPO). Sofern der Beschwerdeführer die Auffassung der Vorinstanz in solchen Fragen nicht tei- len bzw. einen gegenteiligen Standpunkt vertreten sollte, kann somit auf die Rüge nicht eingetreten werden.</w:t>
      </w:r>
    </w:p>
    <w:p>
      <w:r>
        <w:rPr>
          <w:b/>
        </w:rPr>
        <w:t>E. 9</w:t>
      </w:r>
    </w:p>
    <w:p>
      <w:r>
        <w:t>a) Schliesslich beanstandet der Beschwerdeführer Folgendes: Auf Sei- te 22 des angefochtenen Entscheids (KG act. 2) gehe die Vorinstanz davon aus, der relevante Verkehrskreis habe internationale Bezüge. Im Widerspruch dazu nehme die Vorinstanz auf Seite 31 an, der Durchschnittsverbraucher kenne die Unterschiede zwischen den Parteien. Zähle man aber auch ausländische Gäste zum relevanten Verkehrskreis, so würden diese die schweizerischen Verbände nicht kennen (und aufgrund des gemeinsamen Namensbestandteils "suisse" gar eher noch verwechseln).</w:t>
      </w:r>
    </w:p>
    <w:p>
      <w:r>
        <w:t>- 23 - Vollends verlasse die Vorinstanz dann aber den Bereich der Realität und des Beweisergebnisses, wenn sie in willkürlicher Weise angenommenes, zu- künftiges Verhalten der Parteien als Begründung für die behauptete genügende Unterscheidbarkeit der Parteien bzw. deren Klassifikationssymbole anrufe (so die Vorinstanz in KG act. 2 S. 31: "Ergänzend sei bemerkt, dass das publizistische Verhalten der Parteien, so es dem bisherigen entspricht, das seine für eine genü- gende Aufklärung des Publikums beitragen wird"). Es verstehe sich von selbst, dass solche Spekulationen in den Akten keine Stütze fänden, mithin als aktenwid- rig und willkürlich zu bezeichnen seien (KG act. 1 Ziff. 3.8). b) Die Vorinstanz argumentierte wie folgt: Sie führt auf Seite 22 des angefochtenen Entscheids bezüglich der Frage, dass Sterne Beschaffenheitsan- gaben und damit gemeinfreie Zeichen seien, aus, dass die Verhältnisse im Aus- land nicht ohne Vorbehalt auf die einzig relevanten Zustände in der Schweiz he- rangezogen werden könnten. Aus verschiedenen Gründen (unter anderem, da auch ausländische Touristen Schweizer Hotels belegen würden) habe der rele- vante – generell schon breite – Verkehrskreis dennoch internationale Bezüge. Auf Seite 31 erklärt dann die Vorinstanz (im Rahmen von lauterkeitsrechtlichen Über- legungen) weiter, der verständige und aufmerksame Durchschnittsverbraucher könne durchaus erkennen, dass wenn der Beklagte unter seinem Namen und Lo- go ein Bewertungssystem präsentiere, dieses nichts mit dem Kläger zu tun habe. Die Kritik des Beschwerdeführers (vgl. oben lit. a Abs. 1) geht an den vorstehenden vorinstanzlichen Erwägungen aus folgenden Gründen vorbei: Die Vorinstanz traf keine Feststellung und ging nicht davon aus, dass ausländische Gäste – zählt man diese zum relevanten Verkehrskreis – die schweizerischen Verbände kennen müssten. Vielmehr führte sie aus, dass der verständige und aufmerksame Durchschnittsverbraucher durchaus erkennen könne, dass wenn der Beklagte unter seinem Namen und Logo ein Bewertungssystem präsentiere, dieses nichts mit dem Kläger zu tun habe. Auch ein ausländischer Gast sollte in der Lage sein, zwei Parteien bzw. deren Namen auseinanderzuhalten bzw. den X. nicht mit der Y. zu verwechseln (vorausgesetzt, er ist des Lesens mächtig, was auch von einem ausländischen Durchschnittsverbraucher zu erwarten ist). Er</w:t>
      </w:r>
    </w:p>
    <w:p>
      <w:r>
        <w:t>- 24 - braucht dazu keine weiteren Kenntnisse von den beiden Parteien zu besitzen. Im Übrigen ist auch einem verständigen und aufmerksamen Schweizer Durch- schnittsverbraucher allenfalls der Unterschied zwischen dem X. und der Y. nicht geläufig, was nicht ausschliesst, dass dieser ein Bewertungssystem mit dem Na- men und Logo des Beschwerdegegners von X. abgrenzen kann. Somit handelt es sich bei der Annahme des Beschwerdeführers, ausländische Gäste seien (insbe- sondere aufgrund der gleichlautenden Bezeichnung "suisse" im Namen der Par- teien) viel eher geneigt, die Parteien zu verwechseln und hätten keine Gelegen- heit, von der aktuellen Auseinandersetzung zwischen den Parteien etwas zu er- fahren, um eine Interpretation des Beschwerdeführers, die im Wortlaut der vo- rinstanzlichen Erwägungen keine Stütze findet. Aus diesem Grund zielt der Ein- wand des Beschwerdeführers ins Leere. Sodann ist Folgendes hinzuzufügen: Der Beschwerdeführer scheint an dieser Stelle die vorinstanzliche Begründung auch in rechtlicher Hinsicht als wi- dersprüchlich zu rügen. Soweit er aber die vorinstanzliche Urteilsbegründung hin- sichtlich der Anwendung der Normen des Markenschutzgesetzes bzw. des Bun- desgesetzes gegen den unlauteren Wettbewerb als mangelhaft bzw. ungenügend rügt, könnte darauf auch unter diesem Aspekt nicht eingetreten werden. Denn da das Bundesgericht im Rahmen der Beschwerde in Zivilsachen (welche in concre- to zulässig ist, vgl. unten Ziff. V) die Frage, ob die vorinstanzlichen Erwägungen eine nachvollziehbare, schlüssige Begründung enthalten, frei beurteilen kann, ist die kantonale Nichtigkeitsbeschwerde gemäss § 285 Abs. 1 und 2 ZPO nicht zu- lässig (vgl. dazu ZR 107 Nr. 59, Erw. 3.1 sowie Kass.-Nr. AA040043 vom 25. Juni 2004 i.S. M., Erw. II.3.2.c.aa). Soweit der Beschwerdeführer der Vorinstanz Willkür in der Beweiswür- digung vorwirft (siehe oben lit. a Abs. 2), ist anzumerken, dass die (ergänzende) vorinstanzliche Erwägung, das publizistische Verhalten der Parteien werde, so es dem bisherigen entspreche, das seine für eine genügende Aufklärung des Publi- kums beitragen, in der Tat etwas befremdlich erscheinen mag. Dass sie in tat- sächlicher Hinsicht aber geradezu unhaltbar ist, zeigt der Beschwerdeführer nicht auf. Willkür der vorinstanzlichen Erwägung wird mit der Behauptung, es verstehe</w:t>
      </w:r>
    </w:p>
    <w:p>
      <w:r>
        <w:t>- 25 - sich von selbst, dass "diese Spekulation in den Akten keine Stütze finde, mithin als aktenwidrig und willkürlich zu bezeichnen sei", nicht dargetan. Damit geht auch diese Rüge des Beschwerdeführers fehl.</w:t>
      </w:r>
    </w:p>
    <w:p>
      <w:r>
        <w:rPr>
          <w:b/>
        </w:rPr>
        <w:t>E. 10</w:t>
      </w:r>
    </w:p>
    <w:p>
      <w:r>
        <w:t>a) Im Ergebnis bleibt somit festzuhalten, dass der Beschwerdeführer mit einer Ausnahme, die zur Streichung einer Entscheidbegründung zuhanden des Bundesgerichts führt, keinen Nichtigkeitsgrund nachzuweisen vermag. Damit ist die Nichtigkeitsbeschwerde – abgesehen von der erwähnten Streichung – ab- zuweisen, soweit darauf überhaupt eingetreten werden kann. b) Damit entfällt die der Beschwerde verliehene aufschiebende Wir- kung. IV. 1. Vorliegend beantragte der Beschwerdeführer die Klagegutheissung bzw. Aufhebung des angefochtenen Entscheids (KG act. 1 S. 2). Demgegenüber liess der Beschwerdegegner Antrag auf vollumfängliche Abweisung der Be- schwerde stellen, soweit darauf einzutreten sei (KG act. 11 S. 2). Die Nichtig- keitsbeschwerde führt zwar nicht zur Aufhebung des angefochtenen Entscheids, aber immerhin zur Streichung einer Alternativbegründung. Dabei ist zu berück- sichtigen, dass nur ein nicht allzu bedeutender Teil der vorinstanzlichen Erwä- gungen gestrichen wird. Es rechtfertigt sich deshalb im Ergebnis, die Kosten des Nichtigkeitsverfahrens in Anwendung der auch im Rechtsmittelverfahren gelten- den allgemeinen Regel (§ 64 Abs. 2 ZPO) zu 4/5 dem Beschwerdeführer und zu 1/5 dem Beschwerdegegner aufzuerlegen. 2. a) Der Beschwerdeführer ist zu verpflichten, dem Beschwerdegegner für die anwaltlichen Aufwendungen im Beschwerdeverfahren eine entsprechend reduzierte Prozessentschädigung (100% = Fr. 19'250.–) zu bezahlen (§ 68 Abs. 1 ZPO). b) Mangels eines entsprechenden Antrags (KG act. 11 S. 2: "Alles un- ter Kosten- und Entschädigungsfolgen zu Lasten des Beschwerdeführers") ist zur</w:t>
      </w:r>
    </w:p>
    <w:p>
      <w:r>
        <w:t>- 26 - Prozessentschädigung kein Mehrwertsteuerzusatz hinzuzuschlagen (Kreisschrei- ben der Verwaltungskommission des Obergerichts über die Mehrwertsteuer vom 17. Mai 2006). V. 1. Beim vorliegenden Beschluss handelt es sich um einen Endentscheid (im Sinne von Art. 90 BGG) in einer vermögensrechtlichen Zivilsache, deren (Rechtsmittel-)Streitwert mit einer Million Franken deutlich über Fr. 30'000.– liegt (vgl. Art. 51 Abs. 1 lit. a BGG und Art. 74 Abs. 1 lit. b BGG). Folglich steht gegen ihn aus den in Art. 95 ff. BGG genannten Gründen die Beschwerde in Zivilsachen gemäss Art. 72 ff. BGG an das Bundesgericht offen. 2. Ausserdem beginnt mit der Zustellung des kassationsgerichtlichen Ent- scheids die dreissigtägige Frist zur allfälligen Anfechtung des Entscheids des Handelsgerichts vom 6. Februar 2009 mittels Beschwerde ans Bundesgericht (neu) zu laufen (Art. 100 Abs. 6 BGG; siehe auch KG act. 2 S. 34, Dispositivzif- fer 7).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