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AA090006 vom 26. Februar 2009</w:t>
      </w:r>
    </w:p>
    <w:p>
      <w:r>
        <w:t>Zh Kassationsgericht, 2009-02-26, DE</w:t>
      </w:r>
    </w:p>
    <w:p>
      <w:r>
        <w:rPr>
          <w:b/>
        </w:rPr>
        <w:t xml:space="preserve">Quelle: </w:t>
      </w:r>
      <w:r>
        <w:t>https://mcp.opencaselaw.ch/entscheid/zh_kassationsgericht_AA090006</w:t>
      </w:r>
    </w:p>
    <w:p>
      <w:r>
        <w:t>FR: ZH_KASSATIONSGERICHT AA090006 du 26 février 2009</w:t>
      </w:r>
    </w:p>
    <w:p>
      <w:r>
        <w:t>IT: ZH_KASSATIONSGERICHT AA090006 del 26 febbraio 2009</w:t>
      </w:r>
    </w:p>
    <w:p>
      <w:pPr>
        <w:pStyle w:val="Heading2"/>
      </w:pPr>
      <w:r>
        <w:t>Erwägungen</w:t>
      </w:r>
    </w:p>
    <w:p>
      <w:r>
        <w:rPr>
          <w:b/>
        </w:rPr>
        <w:t>E. 2</w:t>
      </w:r>
    </w:p>
    <w:p>
      <w:r>
        <w:t>Die Vorinstanz legte in ihrer einlässlichen Entscheidbegründung in der Sache selbst zunächst die verfahrensrechtlichen Grundsätze des Eheschutzver- fahrens dar. In diesem Zusammenhang zeigte sie insbesondere auch auf, wes- halb der vom Beschwerdeführer im Rekursverfahren gestellte Antrag auf Durch- führung eines Vaterschaftstests im Rahmen des vorliegenden Verfahrens (be- treffend Eheschutzmassnahmen) nicht weiter behandelt werden könne (KG act. 2 S. 5-7, Erw. II/A). Alsdann begründete sie im Einzelnen, weshalb dem Beschwer- deführer zwar ein gegenüber der von der Erstinstanz getroffenen Regelung er- weitertes Besuchsrecht einzuräumen (KG act. 2 S. 7-20, Erw. II/B), von der kläge- rischerseits beantragten Anordnung einer Beistandschaft im Sinne von Art. 308 Abs. 1 und 2 ZGB für den Sohn A. jedoch abzusehen sei (KG act. 2 S. 20-33, Erw. II/C). Im Anschluss daran widmete sich die Vorinstanz der Unterhaltsrege- lung, in deren Rahmen sie sich detailliert mit dem klägerischen und dem beklag- tischen Einkommen und den Bedarfspositionen der Parteien befasste (KG act. 2 S. 34-56, Erw. II/D). Schliesslich prüfte sie die Kostenfolgen des erstinstanzlichen Verfahrens auf ihre Rechtmässigkeit (KG act. 2 S. 57-58, Erw. II/E), ehe sie – wiederum mit einlässlicher Begründung – über die Kosten- und Entschädigungs- folgen des Rekursverfahrens entschied (KG act. 2 S. 59-61, Erw. IV). 3.a) Angesichts der Ausgestaltung seiner dagegen gerichteten Beschwerde ist der Beschwerdeführer auf die besondere Natur des Kassationsverfahrens hin- zuweisen. Dieses stellt keine Fortsetzung des Verfahrens vor dem Sachrichter (mit umfassender Prüfungsbefugnis und Prüfungspflicht der Rechtsmittelinstanz bezüglich des gesamten Prozessstoffes sowohl in rechtlicher wie auch tatsächli- cher Hinsicht) dar. Zu prüfen ist vielmehr (allein), ob der angefochtene Entscheid aufgrund des bei der Vorinstanz gegebenen Aktenstandes an einem besonderen Mangel, nämlich einem Nichtigkeitsgrund im Sinne von § 281 Ziff. 1-3 ZPO leidet. Dabei muss der Nichtigkeitskläger, der anzugeben hat, inwieweit er den vorin- stanzlichen Entscheid anficht und welche Änderungen (in dessen Dispositiv, d.h. Entscheidformel) er beantragt (§ 288 Abs. 1 Ziff. 2 ZPO), den behaupteten Nich- tigkeitsgrund in der Beschwerdeschrift selbst nachweisen (§ 288 Abs. 1 Ziff. 3 ZPO), wobei neue tatsächliche Behauptungen, Einreden, Bestreitungen und Be- weise, die eine Vervollständigung des Prozessstoffes bezwecken, über welchen</w:t>
      </w:r>
    </w:p>
    <w:p>
      <w:r>
        <w:t>- 5 - der erkennende (Sach-)Richter zu entscheiden hatte, im Beschwerdeverfahren (selbst bei Vorliegen der Voraussetzungen von § 115 ZPO) nicht zulässig sind (sog. Novenverbot; vgl. Frank/Sträuli/Messmer, a.a.O., N 4a zu § 288 ZPO [und N 7b zu § 115 ZPO]; Spühler/Vock, a.a.O., S. 75; Walder-Richli, Zivilprozessrecht,</w:t>
      </w:r>
    </w:p>
    <w:p>
      <w:r>
        <w:rPr>
          <w:b/>
        </w:rPr>
        <w:t>E. 4</w:t>
      </w:r>
    </w:p>
    <w:p>
      <w:r>
        <w:t>Dem Beschwerdeführer wurde mit erstinstanzlicher Verfügung vom 6. Juli 2007 das prozessuale Armenrecht (im Sinne von §§ 84 und 87 ZPO) gewährt (ER act. 16). Ein Entzug desselben ist bisher nicht erfolgt. Zwar gilt eine einmal erteilte Bewilligung der unentgeltlichen Rechtspflege grundsätzlich nicht nur für die angerufene Instanz, sondern auch für allfällige Rechtsmittelverfahren, ohne dass es hiefür eines besonderen Antrags oder Ent- scheids bedürfte. Die Rechtsmittelinstanz kann für ihr Verfahren jedoch einen selbstständigen Entscheid treffen (§ 90 Abs. 2 ZPO; Frank/Sträuli/Messmer, a.a.O., N 3 zu § 90 ZPO). Insbesondere kann die Bewilligung des prozessualen Armenrechts zurückgezogen werden, wenn dessen Voraussetzungen im Laufe des Prozesses dahinfallen (§ 91 ZPO). Dazu besteht in casu Anlass: Nachdem die vorliegende Beschwerde aus den eben genannten Gründen als von Anfang an aussichtslos (vgl. RB 1997 Nr. 76; ZR 98 Nr. 12) im Sinne von § 84 Abs. 1 ZPO bzw. Art. 29 Abs. 3 BV betrach- tet werden muss (vgl. dazu BGE 129 I 135 f.; 128 I 236; 125 II 275 m.w.Hinw.; ZR</w:t>
      </w:r>
    </w:p>
    <w:p>
      <w:r>
        <w:t>- 8 - 101 Nr. 14, Erw. 3; 69 Nr. 29; Frank/Sträuli/Messmer, a.a.O., N 21a zu § 84 ZPO), fehlt(e) es bezüglich des Beschwerdeverfahrens am Erfordernis genügender Er- folgsaussichten des Rechtsmittels und damit an einer für die Bewilligung bzw. Aufrechterhaltung des prozessualen Armenrechts unabdingbaren Grundvoraus- setzung. Deshalb ist dem Beschwerdeführer – unabhängig von dessen finanziel- ler Situation – für das Kassationsverfahren die Bewilligung der unentgeltlichen Prozessführung zu entziehen (s.a. ZR 98 Nr. 12; BGer 4P.300/2005 vom 15.12. 2005, Erw. 3.1).</w:t>
      </w:r>
    </w:p>
    <w:p>
      <w:r>
        <w:rPr>
          <w:b/>
        </w:rPr>
        <w:t>E. 5</w:t>
      </w:r>
    </w:p>
    <w:p>
      <w:r>
        <w:t>Ausgangsgemäss sind die Kosten des Beschwerdeverfahrens in Anwen- dung der auch im Rechtsmittelverfahren geltenden allgemeinen Regel (§ 64 Abs. 2 ZPO) dem als unterliegende Partei zu betrachtenden (und im Kassationsverfah- ren nicht mehr im Genuss der unentgeltlichen Prozessführung stehenden) Be- schwerdeführer aufzuerlegen (vgl. Guldener, Schweizerisches Zivilprozessrecht, 3. A., Zürich 1979, S. 406, Anm. 6/a). Sie bestehen in einer sämtliche Kosten ab- deckenden (§ 2 Abs. 3 GGebV), nach § 5 Abs. 3 in Verbindung mit § 13 GGebV zu bemessenden und gemäss § 10 Abs. 1 GGebV (analog) erheblich zu reduzie- renden Gerichtsgebühr. Da der Beschwerdegegnerin vor Kassationsgericht keine entschädigungspflichtigen Kosten und Umtriebe (im Sinne von § 68 Abs. 1 ZPO) entstanden sind, ist ihr bzw. ihrer unentgeltlichen Rechtsvertreterin (vgl. § 89 Abs. 1 ZPO) keine Prozessentschädigung zuzusprechen.</w:t>
      </w:r>
    </w:p>
    <w:p>
      <w:r>
        <w:rPr>
          <w:b/>
        </w:rPr>
        <w:t>E. 6</w:t>
      </w:r>
    </w:p>
    <w:p>
      <w:r>
        <w:t>Da die Beschwerde nicht nur die Unterhaltsbeiträge, sondern auch die Modalitäten des Besuchsrechts zum Gegenstand hat, handelt es sich beim vorlie- genden Beschluss um einen Endentscheid im Sinne von Art. 90 BGG über eine nicht vermögensrechtliche Zivilsache (vgl. statt vieler BGer 5D_119/2007 vom 11.3.2008, Erw. 2.3 m.Hinw.; 5A_693/2007 vom 18.2.2008, Erw. 1; 5A_293/2007 vom 31.10.2007, Erw. 2.1; 5A_117/2007 vom 11.10.2007, Erw. 1.2). Folglich steht gegen ihn die (ordentliche) Beschwerde in Zivilsachen gemäss Art. 72 ff. BGG an das Bundesgericht offen. Da die bundesgerichtliche Praxis Eheschutzentscheide grundsätzlich Entscheiden über vorsorgliche Massnahmen im Sinne von Art. 98 BGG gleichstellt (BGE 133 III 396 f., Erw. 5), kann er allerdings nur wegen Verlet- zung verfassungsmässiger Rechte angefochten werden.</w:t>
      </w:r>
    </w:p>
    <w:p>
      <w:r>
        <w:t>- 9 - Sodann beginnt gemäss Art. 100 Abs. 6 BGG mit der Zustellung des Ent- scheids des Kassationsgerichts (als ausserordentlicher Rechtsmittelinstanz) grundsätzlich auch die dreissigtägige Frist zur allfälligen Anfechtung des oberge- richtlichen Rekursentscheids beim Bundesgericht wegen Mängeln, deren Prüfung dem Kassationsgericht entzogen ist, (neu) zu laufen (s.a. KG act. 2 S. 62, Disp.- Ziff. 7 Abs. 2 a.E.). Dabei ist jedoch zu beachten, dass nach höchstrichterlicher Praxis eine direkte Anfechtung von Entscheiden des zürcherischen Obergerichts betreffend Eheschutzmassnahmen nicht oder jedenfalls nur in Ausnahmefällen möglich ist, da es derartigen Entscheiden angesichts der bloss beschränkten Ko- gnition des Bundesgerichts (Art. 98 BGG), welche kaum weitergehe als diejenige des Kassationsgerichts nach § 281 Ziff. 1-3 ZPO, regelmässig am Erfordernis der (kantonalen) Letztinstanzlichkeit (Art. 75 Abs. 1 BGG) fehle (vgl. BGE 133 III 585 ff.; BGer 5A_117/2007 vom 11.10.2007, Erw. 3.2; Jent-Sørensen/Reiser, Kanto- nal-zürcherische Nichtigkeitsbeschwerde und Beschwerde in Zivilsachen ans Bundesgericht, SJZ 2008, S. 368). Die den Parteien nach Art. 112 Abs. 1 lit. d BGG zu erteilende Rechtsmittelbelehrung steht unter diesem Vorbehalt.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