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ZH_KASSATIONSGERICHT AA080167 vom 20. Juli 2009</w:t>
      </w:r>
    </w:p>
    <w:p>
      <w:r>
        <w:t>Zh Kassationsgericht, 2009-07-20, DE</w:t>
      </w:r>
    </w:p>
    <w:p>
      <w:r>
        <w:rPr>
          <w:b/>
        </w:rPr>
        <w:t xml:space="preserve">Quelle: </w:t>
      </w:r>
      <w:r>
        <w:t>https://mcp.opencaselaw.ch/entscheid/zh_kassationsgericht_AA080167</w:t>
      </w:r>
    </w:p>
    <w:p>
      <w:r>
        <w:t>FR: ZH_KASSATIONSGERICHT AA080167 du 20 juillet 2009</w:t>
      </w:r>
    </w:p>
    <w:p>
      <w:r>
        <w:t>IT: ZH_KASSATIONSGERICHT AA080167 del 20 luglio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A,</w:t>
      </w:r>
    </w:p>
    <w:p>
      <w:r>
        <w:rPr>
          <w:b/>
        </w:rPr>
        <w:t>E. 2</w:t>
      </w:r>
    </w:p>
    <w:p>
      <w:r>
        <w:t>es sei festzustellen, dass das Rechtsbegehren Ziffer 1 der Klage vom 17. Juni 1995 [recte: 2005] (Bilanzierungsanspruch) nicht gegenstands- los geworden ist;</w:t>
      </w:r>
    </w:p>
    <w:p>
      <w:r>
        <w:rPr>
          <w:b/>
        </w:rPr>
        <w:t>E. 3</w:t>
      </w:r>
    </w:p>
    <w:p>
      <w:r>
        <w:t>es sei der Einwand der fehlenden Passivlegitimation des Beklagten 1 hinsichtlich des Rechtsbegehrens Ziffer 1 der Klage vom 17. Juni 1995 [recte: 2005] (Bilanzierungsanspruch) gutzuheissen;</w:t>
      </w:r>
    </w:p>
    <w:p>
      <w:r>
        <w:rPr>
          <w:b/>
        </w:rPr>
        <w:t>E. 4</w:t>
      </w:r>
    </w:p>
    <w:p>
      <w:r>
        <w:t>eventualiter zum Antrag gemäss Ziffer 3 hievor sei die Prozesssache, die Gegenstand des Rekursverfahrens … ist, … an die Vorinstanz zu- rückzuweisen und die Vorinstanz anzuweisen, formell über den Ein- wand der fehlenden Passivlegitimation des Beklagten 1 hinsichtlich des Rechtsbegehrens Ziffer 1 der Klage vom 17. Juni 1995 [recte: 2005] (Bi- lanzierungsanspruch) zu entscheiden;</w:t>
      </w:r>
    </w:p>
    <w:p>
      <w:r>
        <w:rPr>
          <w:b/>
        </w:rPr>
        <w:t>E. 5</w:t>
      </w:r>
    </w:p>
    <w:p>
      <w:r>
        <w:t>subeventualiter zum Antrag gemäss Ziffer 3 hievor sei die Prozess- sache, die Gegenstand des Rekursverfahrens … ist, … an die Vorin- stanz zurückzuweisen mit der Aufforderung, die Prozesssache an das Bezirksgericht ______ weiter zu überweisen mit der Instruktion, formell über den Einwand der fehlenden Passivlegitimation des Beklagten 1 hinsichtlich des Rechtsbegehrens Ziffer 1 der Klage vom 17. Juni 1995 [recte: 2005] (Bilanzierungsanspruch) zu entscheiden;</w:t>
      </w:r>
    </w:p>
    <w:p>
      <w:r>
        <w:rPr>
          <w:b/>
        </w:rPr>
        <w:t>E. 6</w:t>
      </w:r>
    </w:p>
    <w:p>
      <w:r>
        <w:t>Nach dem Gesagten kann auf die Beschwerde des Beschwerdeführers nicht eingetreten werden. IV. 1. Ausgangsgemäss wird der Beschwerdeführer kosten- und entschädi- gungspflichtig (§ 64 Abs. 2 ZPO; § 68 Abs. 1 ZPO), wobei auf der Prozessent- schädigung zufolge Wohnsitzes des Beschwerdegegners im Ausland kein MWST- Zuschlag vorzunehmen ist. Dabei ist von einem Streitwert von Fr. 149'000.— aus- zugehen (vgl. nachfolgende Ziffer IV.2 sowie KG act. 2 S. 25 Ziff. 3a).</w:t>
      </w:r>
    </w:p>
    <w:p>
      <w:r>
        <w:t>- 13 - 2. Der Beschwerdeführer hat entgegen der Bezeichnung seiner Be- schwerde (KG act. 1 S. 2) ausschliesslich den vorinstanzlichen Beschluss (ohne das Vorurteil) zum Anfechtungsobjekt der vorliegenden Beschwerde gemacht (vgl. KG act. 1 S. 2 Rechtsbegehren sowie KG act. 21 S. 3 RZ 2), weshalb mit der Zustellung des vorliegenden Beschlusses gestützt auf Art. 100 Abs. 6 BGG wohl lediglich die Frist zur Anfechtung des Beschlusses (trotz des ergehenden Nicht- eintretensentscheides, vgl. Bger. 4A_216/2008 v. 20.08.2008, Erw. 1.2) und nicht auch des Vorurteils des Obergerichts des Kantons Zürich vom 24. September 2008 neu zu laufen beginnen dürfte. Dementsprechend ist die Rechtsmittelbeleh- rung auszugestalten.</w:t>
      </w:r>
    </w:p>
    <w:p>
      <w:r>
        <w:t>- 14 - Das Gericht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