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AA080097 vom 10. Mai 2010</w:t>
      </w:r>
    </w:p>
    <w:p>
      <w:r>
        <w:t>Zh Kassationsgericht, 2010-05-10, DE</w:t>
      </w:r>
    </w:p>
    <w:p>
      <w:r>
        <w:rPr>
          <w:b/>
        </w:rPr>
        <w:t xml:space="preserve">Quelle: </w:t>
      </w:r>
      <w:r>
        <w:t>https://mcp.opencaselaw.ch/entscheid/zh_kassationsgericht_AA080097</w:t>
      </w:r>
    </w:p>
    <w:p>
      <w:r>
        <w:t>FR: ZH_KASSATIONSGERICHT AA080097 du 10 mai 2010</w:t>
      </w:r>
    </w:p>
    <w:p>
      <w:r>
        <w:t>IT: ZH_KASSATIONSGERICHT AA080097 del 10 maggio 2010</w:t>
      </w:r>
    </w:p>
    <w:p>
      <w:pPr>
        <w:pStyle w:val="Heading2"/>
      </w:pPr>
      <w:r>
        <w:t>Erwägungen</w:t>
      </w:r>
    </w:p>
    <w:p>
      <w:r>
        <w:rPr>
          <w:b/>
        </w:rPr>
        <w:t>E. 26</w:t>
      </w:r>
    </w:p>
    <w:p>
      <w:r>
        <w:t>Die in § 54 Abs. 2 ZPO statuierte Dispositionsmaxime, welche die vorliegende vermögensrechtliche Streitigkeit beherrscht, besagt, dass der Richter einer Partei weder mehr noch anderes zusprechen darf, als sie selbst verlangt, noch weniger, als der Gegner anerkannt hat. In ihrem wesentlichen Kern verbietet die Dispositi- onsmaxime dem Richter mit anderen Worten, über die Anträge der Parteien hi- nauszugehen: Er darf dem Kläger mithin nur zusprechen, was dieser verlangt, und er muss ihm das zusprechen, was der Gegner anerkannt hat (einlässlich da- zu Walder-Richli, Zivilprozessrecht, 4. A., Zürich 1979, S. 148 f; Frank/Sträuli/Messmer, a.a.O., N 14 ff. zu § 54 ZPO; Vogel/Spühler, Kap. 6 Rz 8 ff.).</w:t>
      </w:r>
    </w:p>
    <w:p>
      <w:r>
        <w:rPr>
          <w:b/>
        </w:rPr>
        <w:t>E. 27</w:t>
      </w:r>
    </w:p>
    <w:p>
      <w:r>
        <w:t>Nach ständiger Praxis des Kassationsgerichts kommt es bei der Beurteilung einer Verletzung der Dispositionsmaxime, mithin beim Vergleich zwischen Klage (Rechtsbegehren) und Urteil, nicht auf die Begründung an, sondern ausschliess- lich auf das Ergebnis (ZR 94 Nr. 16 Erw. V). Auch nach der bundesgerichtlichen Rechtsprechung ist für die Anwendung der Dispositionsmaxime die Fassung der Rechtsbegehren massgebend (neuerdings BGE vom 12. Mai 2009 Nr. 4A_551/2008, E. 2).</w:t>
      </w:r>
    </w:p>
    <w:p>
      <w:r>
        <w:t>- 11 -</w:t>
      </w:r>
    </w:p>
    <w:p>
      <w:r>
        <w:rPr>
          <w:b/>
        </w:rPr>
        <w:t>E. 28</w:t>
      </w:r>
    </w:p>
    <w:p>
      <w:r>
        <w:t>Gemäss den ursprünglichen Rechtsbegehren der Beschwerdegegnerin ver- langte diese die Entfernung der auf dem Grundstück der Beschwerdeführerin Kat. Nr. 6531 auf der Ostseite angebrachten gelben Markierungen für die nördlichsten drei Parkplätze, eventualiter für die mittleren zwei Parkplätze (KG, act. 2). Indem die Vorinstanz die Beschwerdeführerin anweist, die auf ihrem Grundstück Kat. Nr. 6531 auf der Ostseite an der Grenze zum Grundstück der Beschwerdegegnerin Kat. Nr. 8078 angebrachten gelben Markierungen für die nördlichsten zwei Park- plätze zu entfernen, wurde der Beschwerdegegnerin nicht mehr zugesprochen als diese verlangt hatte, weshalb keine Verletzung der Dispositionsmaxime vorliegt.</w:t>
      </w:r>
    </w:p>
    <w:p>
      <w:r>
        <w:rPr>
          <w:b/>
        </w:rPr>
        <w:t>E. 29</w:t>
      </w:r>
    </w:p>
    <w:p>
      <w:r>
        <w:t>Nach der Verhandlungsmaxime obliegt es den Parteien, dem Gericht das Tat- sächliche des Streites darzulegen. Dieses Prinzip kann bundesrechtlich aus Art. 8 ZGB abgeleitet werden, wonach derjenige das Vorhandensein einer behaupteten Tatsache beweisen muss, der aus ihr Rechte ableitet (Vogel/Spühler, Kap. 6, Rz 20).</w:t>
      </w:r>
    </w:p>
    <w:p>
      <w:r>
        <w:rPr>
          <w:b/>
        </w:rPr>
        <w:t>E. 30</w:t>
      </w:r>
    </w:p>
    <w:p>
      <w:r>
        <w:t>Die allgemeine Beweisvorschrift von Art. 8 ZGB ist dann verletzt, wenn die Beweislast falsch verteilt wurde oder wenn der (bundesrechtliche) Anspruch der beweispflichtigen Partei verletzt wird, für rechtserhebliche Sachvorbringen Beweis zu führen, wenn ihr Beweisantrag nach Form und Inhalt den Vorschriften des kan- tonalen Rechts entspricht. Insbesondere ist diese Beweisvorschrift dann verletzt, wenn der kantonale Richter Behauptungen einer Partei unbekümmert darum, dass sie von der Gegenpartei bestritten worden sind, als richtig hinnimmt oder über rechtserhebliche bestrittene Tatsachen überhaupt nicht Beweis führen lässt (ZR 95 Nr. 73 unter Hinweis auf BGE 114 II 290 f; Frank/Sträuli/Messmer, a.a.O., N 3 zu § 133 ZPO).</w:t>
      </w:r>
    </w:p>
    <w:p>
      <w:r>
        <w:rPr>
          <w:b/>
        </w:rPr>
        <w:t>E. 31</w:t>
      </w:r>
    </w:p>
    <w:p>
      <w:r>
        <w:t>Die Klägerin rügt, die Vorinstanz habe ihrem Urteil eine Behauptung der Ge- genpartei, dass die fragliche Dienstbarkeit der Eigentümerin des herrschenden Grundstückes jederzeit den Zugang zu beiden Hauseingängen über den Brand- schenkeplatz zu ermöglichen hatte, resp. dass das fragliche Wegrecht immer so gehandhabt worden sei, dass auch beide Zugänge unbehindert erschlossen wor- den seien (act. 1, S. 65/6), zugrunde gelegt unbekümmert darum, dass diese von der Beschwerdegegnerin gar nie behauptet und von der Beschwerdeführerin</w:t>
      </w:r>
    </w:p>
    <w:p>
      <w:r>
        <w:t>- 12 - mehrfach bestritten worden sei. Die Vorinstanz hätte diese Behauptung ange- sichts dieser Bestreitung gerade nicht als richtig hinnehmen dürfen, ohne darüber als rechtserhebliche Tatsache Beweis führen zu lassen. Ob das Gericht eine be- stimmte Behauptung resp. Bestreitung als rechtserheblich, d.h. als für den einge- klagten Anspruch grundlegend resp. grundlagenzerstörend erachtet, ist eine Fra- ge des materiellen Rechts (Frank/Sträuli/Messmer, a.a.O., N 3 zu § 133 ZPO). Diese Rüge erschöpft sich diesbezüglich in der Rüge der Verletzung von materiel- lem Bundesrecht (Art. 8 ZGB), auf welche im kantonalen Beschwerdeverfahren nicht eingetreten werden kann (vgl. vorne A. 4. f). Abgesehen davon gibt die Be- schwerdeführerin (in act. 1, Ziff. 5.2) die Stellen nicht an, an denen sie die ent- sprechende Behauptung resp. Bestreitung vor den Vorinstanzen vorgebracht ha- ben will.</w:t>
      </w:r>
    </w:p>
    <w:p>
      <w:r>
        <w:rPr>
          <w:b/>
        </w:rPr>
        <w:t>E. 32</w:t>
      </w:r>
    </w:p>
    <w:p>
      <w:r>
        <w:t>Zu diesen materiell-rechtlichen Fragen der Behauptungs- und Beweislastver- teilung, auf die wie gesagt in diesem Verfahren nicht einzutreten ist, soll hier nur soviel gesagt werden: Während das im Streit liegende Fuss- und Fahrwegrecht 1996 begründet wurde, steht das Haus auf dem beherrschenden Grundstück seit über 100 Jahren und weist seit dieser Zeit auch zwei Hauseingänge auf. Dies al- les ist zwischen den Parteien auch nicht streitig. Diese Umstände werden von der Vorinstanz zur Bestimmung von Inhalt und Umfang der Berechtigung nach den In- teressen und Bedürfnissen des herrschenden Grundstückes herangezogen (act. 2, S. 9/10). Dass die ununterbrochene Nutzung der fraglichen Dienstbarkeit im ganzen Umfang der so ausgelegten Berechtigung für den Rechtserhalt notwendig gewesen wäre, oder dass die Klägerin resp. ihr Vater als ihr Vorgänger im Eigen- tum am herrschenden Grundstück auf einen Teil der so ausgelegten Dienstbarkeit rechtswirksam implizite durch Nichtgebrauch resp. Gebrauch nur in einem be- schränkten Umfang verzichtet hätten, macht die Klägerin nicht geltend, resp. be- hauptet sie nicht vor Vorinstanz geltend gemacht zu haben. Damit wären die ent- sprechenden Rügen (falsche Behauptungs- und Beweislastverteilung) auch dann erfolglos, wenn auf sie einzutreten wäre.</w:t>
      </w:r>
    </w:p>
    <w:p>
      <w:r>
        <w:rPr>
          <w:b/>
        </w:rPr>
        <w:t>E. 33</w:t>
      </w:r>
    </w:p>
    <w:p>
      <w:r>
        <w:t>Die Beschwerdeführerin rügt weiter, dass die Vorinstanz in unzulässiger Wei- se die Ausführung der Beschwerdeführerin, ein Zugang sei (nur) in der Breite von</w:t>
      </w:r>
    </w:p>
    <w:p>
      <w:r>
        <w:t>- 13 - 2 bis 2.2 Meter zu gewähren, als unerlaubtes Novum zurückgewiesen habe, weil „diese exakte Massangabe …. neu“ sei. Die ganze Diskussion gehe nur um die Dimensionen der Dienstbarkeit resp. der Parkplätze, die zu entfernen seien. Wenn in allen Rechtsschriften bisher von „Parkplätzen“ die Rede gewesen sei, sei ein Negieren von Masseinheiten „krass willkürlich“, da die Parkplatzmarkierungen regelmässig und gemäss öffentlichem Baurecht (Normalien über die Anforderun- gen an Zugänge) auf Masseinheiten basieren (act. 1 N 8 f.).</w:t>
      </w:r>
    </w:p>
    <w:p>
      <w:r>
        <w:rPr>
          <w:b/>
        </w:rPr>
        <w:t>E. 34</w:t>
      </w:r>
    </w:p>
    <w:p>
      <w:r>
        <w:t>Die Beschwerdeführerin bezeichnet die Stelle nicht, wo die Vorinstanz die ent- sprechende Behauptung als unerlaubtes Novum zurückgewiesen habe (wohl act. 2 S. 11 in der Mitte), noch wo in den Rechtsschriften vor erster Instanz von exak- ten Metermassen resp. Parkplätzen als indirekten Meterangaben die Rede gewe- sen sei. Die Rüge stösst aber unabhängig davon ins Leere: Die Vorinstanz sagt selbst, dass auch bei einer ungemessenen Dienstbarkeit das Mass der Berechti- gung definiert werden muss, wobei sie davon ausgeht, dass gerade die Breite der beiden Streitgegenstand bildenden Parkplätze benötigt werde (act 2. S. 11 2. Ab- satz). Die Frage, was bezüglich Dimension der der Beschwerdeführerin einzu- räumenden Zugangsberechtigung gelten soll, fällt aber unter Bundesrecht (act 2. S. 12). Damit ist die Überprüfung der Bestimmung der Dimension der Berechti- gung unter der Dienstbarkeit (nach Metern oder nach Parkplatzbreiten) in diesem Verfahren nicht möglich. In diesem Fall erübrigt sich aber auch die Prüfung der Frage, ob die Meterangabe rechtzeitig oder verspätet sei, da ihre Massgeblichkeit auch bei rechtzeitigem Vorbringen nicht überprüft werden könnte.</w:t>
      </w:r>
    </w:p>
    <w:p>
      <w:r>
        <w:rPr>
          <w:b/>
        </w:rPr>
        <w:t>E. 35</w:t>
      </w:r>
    </w:p>
    <w:p>
      <w:r>
        <w:t>Dasselbe gilt für die Rüge der Verletzung des Verhältnismässigkeitsprinzips (Art. 694 Abs. 3 resp. 737 Abs. 2 ZGB und der Verletzung klaren Rechts (§ 281 Ziff. 3 ZPO) in diesem Zusammenhang, wonach nur der halbe Parkplatz den der- zeitigen Zugang behindere und es der Beschwerdeführerin frei stehen müsse, über den verbleibenden Streifen zu verfügen, z.B. indem sie darauf einen Motor- radparkplatz einrichte oder alle Parkplätze verschiebe. Die Bestimmung der Di- mension der Dienstbarkeit ist wie gesagt Sache des Bundesrechts. Zudem sagt die Beschwerdeführerin nicht, wo sie sich vor Vorinstanz darauf berufen habe, die Parkfläche um weniger als die Fläche beider Parkplätze einzuschränken.</w:t>
      </w:r>
    </w:p>
    <w:p>
      <w:r>
        <w:t>- 14 -</w:t>
      </w:r>
    </w:p>
    <w:p>
      <w:r>
        <w:rPr>
          <w:b/>
        </w:rPr>
        <w:t>E. 36</w:t>
      </w:r>
    </w:p>
    <w:p>
      <w:r>
        <w:t>Wenn die Beschwerdeführerin rügt, die Vorinstanz habe sich auf unbewiese- ne, bestrittene Behauptungen der Beschwerdegegnerin gestützt, indem sie ein Umrechnen der Masseinheiten auf die Parkplatzdimension negiert habe, und ha- be damit das Verfahrensgebot nach Art. 8 ZGB verletzt (act. 1 N 8.2.), macht die Beschwerdeführerin eine Verletzung von materiellem Bundesrecht geltend, wes- halb sie diesbezüglich ebenfalls auf das bundesgerichtliche Beschwerdeverfahren verwiesen werden muss. Zudem ist nicht ersichtlich, was die Weigerung der Vor- instanz, die Parkplatzbreiten auf Metermasse umzurechnen, mit den Behauptun- gen der Beschwerdegegnerin zu tun haben soll.</w:t>
      </w:r>
    </w:p>
    <w:p>
      <w:r>
        <w:rPr>
          <w:b/>
        </w:rPr>
        <w:t>E. 37</w:t>
      </w:r>
    </w:p>
    <w:p>
      <w:r>
        <w:t>Die Rügen gestützt auf angebliche Verletzungen von wesentlichen Verfah- rensgrundsätzen sind demnach abzuweisen, soweit darauf eingetreten werden kann. VI.</w:t>
      </w:r>
    </w:p>
    <w:p>
      <w:r>
        <w:rPr>
          <w:b/>
        </w:rPr>
        <w:t>E. 38</w:t>
      </w:r>
    </w:p>
    <w:p>
      <w:r>
        <w:t>Die Beschwerdeführerin rügt auch, die Vorinstanz sei von einer aktenwidrigen und willkürlichen tatsächlichen Annahme im Sinne von § 281 Ziff. 2 ZPO ausge- gangen, indem sie eine Klage gutheissen habe, welche im Grunde illiquid sei (act. 1, N 3.4). Zudem macht die Beschwerdeführerin geltend, indem die Vorinstanz die Wegräumung der Mauer mit der Entfernung der beiden nördlichsten Parkplätze verbinde, gehe sie von einer aktenwidrigen und krass willkürlichen Annahme aus (act. 1, N 7). Ferner rügt die Beschwerdeführerin, dass die Negierung von Mass- zahlen krass willkürlich sei, da als allgemein bekannt vorausgesetzt werden dürfe, dass ein Parkplatz regelmässig Markierungen aufweise, die auf Masseinheiten basiere (act. 1 N 8.1). Im Übrigen habe sich aufgrund des Fehlens eines offen- kundigen Beweisverfahrens eine Aktenwidrigkeit (§ 281 Ziff. 2) entwickelt (act. 1 N 8.3).</w:t>
      </w:r>
    </w:p>
    <w:p>
      <w:r>
        <w:rPr>
          <w:b/>
        </w:rPr>
        <w:t>E. 39</w:t>
      </w:r>
    </w:p>
    <w:p>
      <w:r>
        <w:t>Das Bundesgerichtgesetz (BGG) regelt in Art. 97, 105 und 118 BGG die Kor- rektur unrichtiger Sachverhaltsfeststellungen. Gemäss Art. 97 Abs. 1 BGG kann im Rahmen der (ordentlichen) Beschwerde in Zivil- oder Strafsachen eine falsche</w:t>
      </w:r>
    </w:p>
    <w:p>
      <w:r>
        <w:t>- 15 - Feststellung des Sachverhalts gerügt werden, wenn die Sachverhaltsfeststellung offensichtlich unrichtig ist oder auf einer Rechtsverletzung im Sinne von Art. 95 BGG beruht. Mit der subsidiären Verfassungsbeschwerde, die in Zivilsachen er- gänzend zur ordentlichen Beschwerde hinzutritt, kann (nur) die Verletzung verfas- sungsmässiger Rechte gerügt werden (Art. 116 BGG). Dabei legt das Bundesge- richt seinem Urteil den Sachverhalt zugrunde, den die Vorinstanz festgestellt hat (Art. 118 Abs. 1 BGG). Immerhin kann es die Sachverhaltsfeststellung der Vorin- stanz von Amtes wegen berichtigen oder ergänzen, wenn sie auf einer Rechtsver- letzung im Sinne von Art. 116 BGG (insbesondere Art. 9 BV) beruht (Art. 118 Abs. 2 BGG).</w:t>
      </w:r>
    </w:p>
    <w:p>
      <w:r>
        <w:rPr>
          <w:b/>
        </w:rPr>
        <w:t>E. 40</w:t>
      </w:r>
    </w:p>
    <w:p>
      <w:r>
        <w:t>Das BGG kennt hingegen keine Vorschriften (mehr), die ausdrücklich die Kor- rektur von offensichtlichen auf Versehen beruhenden (= aktenwidrigen) tatsächli- chen Feststellungen regeln. Art. 55 Abs. 1 lit. d und Art. 63 Abs. 3 OG sahen da- gegen die Korrektur einer offensichtlich auf Versehen beruhenden tatsächlichen Feststellung bzw. einer aktenwidrigen Annahme (im Sinne von § 281 Ziff. 2 ZPO) ausdrücklich vor. Dies ist mit Inkrafttreten des BGG am 1. Januar 2007 (und der gleichzeitigen Ausserkraftsetzung des OG) nicht mehr der Fall. Das Bundesge- richt und ein namhafter Teil der Literatur gehen davon aus, eine offensichtliche unrichtige Sachverhaltsfeststellung im Sinne von Art. 97 Abs. 1 und Art. 105 Abs. 2 BGG liege dann vor, wenn eine tatsächliche Feststellung unhaltbar und damit willkürlich nach Art. 9 BV sei (vgl. BGer 5A_21/2007 vom 13. Februar 2007; 6B_178/2007 vom 23 Juli 2007, Erw. 1.2; 5A_44572007 vom 23. August 2007 u.a.m.; bezüglich Lehrmeinungen vgl. die in ZR 107 Nr. 21 Erw. 5.d) zitierten Au- toren). Der Begriff der "offensichtlich unrichtigen" Sachverhaltsfeststellung in Art. 97 Abs. 1 und Art. 105 Abs. 2 BGG wird in der bundesgerichtlichen Praxis nicht mit dem altrechtlichen Begriff des offensichtlichen Versehens bzw. der aktenwid- rigen Annahme, sondern mit "willkürlich" im Sinne von Art. 9 BV gleichgesetzt.</w:t>
      </w:r>
    </w:p>
    <w:p>
      <w:r>
        <w:rPr>
          <w:b/>
        </w:rPr>
        <w:t>E. 41</w:t>
      </w:r>
    </w:p>
    <w:p>
      <w:r>
        <w:t>Das Kassationsgericht hat denn mit Beschluss vom 6. März 2008 seine Praxis geändert und prüft neu vor dem Hintergrund der Geltung des BGG die Aktenwid- rigkeitsrüge im kantonalen Beschwerdeverfahren auch dann, wenn gegen den angefochtenen Entscheid die Beschwerde in Zivilsachen (Art. 72 ff. BGG) oder</w:t>
      </w:r>
    </w:p>
    <w:p>
      <w:r>
        <w:t>- 16 - die subsidiäre Verfassungsbeschwerde offensteht, ist gemäss § 285 Abs. 2 ZPO die kantonale Nichtigkeitsbeschwerde doch stets zulässig, wenn eine Verletzung von Art. 9 BV geltend gemacht wird (vgl. zur ganzen Thematik eingehend ZR 107 (2008) Nr. 21 Erw. II.5 mit ausführlicher Begründung und zahlreichen Verweisun- gen und Auseinandersetzungen mit der Literatur).</w:t>
      </w:r>
    </w:p>
    <w:p>
      <w:r>
        <w:rPr>
          <w:b/>
        </w:rPr>
        <w:t>E. 42</w:t>
      </w:r>
    </w:p>
    <w:p>
      <w:r>
        <w:t>Da die Rüge der Aktenwidrigkeit nach der Inkraftsetzung des BGG demnach nicht mehr unter die Ausschlussvorschrift von § 285 ZPO fällt, erweist sich die vorliegende Beschwerde diesbezüglich somit unter dem Aspekt der Subsidiarität an sich als zulässig, und zwar unabhängig davon, ob die Beschwerdeführerin der Sache nach eine willkürliche tatsächliche Annahme oder eine Aktenwidrigkeit im eigentlichen Sinne geltend macht.</w:t>
      </w:r>
    </w:p>
    <w:p>
      <w:r>
        <w:rPr>
          <w:b/>
        </w:rPr>
        <w:t>E. 43</w:t>
      </w:r>
    </w:p>
    <w:p>
      <w:r>
        <w:t>Eine willkürliche tatsächliche Annahme liegt dann vor, wenn das Gericht eine beweisbedürftige Tatsache als bewiesen annimmt, obwohl die Akten darüber kei- nen Aufschluss geben oder wenn es eine Feststellung aufgrund einer willkürlichen Beweiswürdigung trifft. Angesichts des Grundsatzes der freien Beweiswürdigung liegt Willkür in der Beweiswürdigung allerdings nur vor, wenn der vom Sachrichter gezogene Schluss für einen unbefangen Denkenden als unhaltbar erscheint. Eine vertretbare Beweiswürdigung ist daher noch nicht willkürlich, auch wenn die Kas- sationsinstanz an der Stelle des Sachrichters allenfalls anders entschieden hätte (vgl. von Rechenberg, Die Nichtigkeitsbeschwerde in Zivil- und Strafsachen nach züricherischem Recht, 2. Auflage, Zürich 1986, S 28).</w:t>
      </w:r>
    </w:p>
    <w:p>
      <w:r>
        <w:rPr>
          <w:b/>
        </w:rPr>
        <w:t>E. 44</w:t>
      </w:r>
    </w:p>
    <w:p>
      <w:r>
        <w:t>zu § 281 ZPO).</w:t>
      </w:r>
    </w:p>
    <w:p>
      <w:r>
        <w:rPr>
          <w:b/>
        </w:rPr>
        <w:t>E. 45</w:t>
      </w:r>
    </w:p>
    <w:p>
      <w:r>
        <w:t>Ob im Einzelfall Aktenwidrigkeit oder aber eine willkürliche Beweiswürdigung gerügt wird, hängt nicht von der Bezeichnung ab, die der Beschwerdeführer ver- wendet. Die Subsumtion der beschwerdeführerischen Vorbringen unter den zu- treffenden Nichtigkeitsgrund von § 281 ZPO ist Aufgabe des Gerichts. Eine irrtüm- liche Bezeichnung seitens des Beschwerdeführers schadet diesem nicht (Frank/Sträuli/Messmer, a.a.O., N 44 zu § 281 ZPO und N 4 zu § 288 ZPO).</w:t>
      </w:r>
    </w:p>
    <w:p>
      <w:r>
        <w:rPr>
          <w:b/>
        </w:rPr>
        <w:t>E. 46</w:t>
      </w:r>
    </w:p>
    <w:p>
      <w:r>
        <w:t>Wer die vorinstanzliche Beweiswürdigung als willkürlich rügt, muss in der Be- schwerde genau darlegen, welche tatsächlichen Annahmen des angefochtenen Entscheides auf Grund welcher Aktenstellen willkürlich sein sollen. Wird Akten- widrigkeit einer tatsächlichen Annahme behauptet, so sind ebenfalls die Bestand- teile der Akten, die nicht oder nicht in ihrer wahren Gestalt in die Beweiswürdi- gung einbezogen worden sein sollen, genau anzugeben (ZR 81 Nr. 88 Erw. 6; Frank/Sträuli/Messmer, Kommentar zur zürcherischen Zivilprozessordnung, 3.A., Zürich 1997, N 4 zu § 288 ZPO; Spühler/Vock, Rechtsmittel in Zivilsachen im Kanton Zürich und im Bund, Zürich 1999, S. 72 f.; von Rechenberg, Die Nichtig- keitsbeschwerde in Zivil– und Strafsachen nach zürcherischem Recht, 2.A., Zü- rich 1986, S. 16 ff.).</w:t>
      </w:r>
    </w:p>
    <w:p>
      <w:r>
        <w:rPr>
          <w:b/>
        </w:rPr>
        <w:t>E. 47</w:t>
      </w:r>
    </w:p>
    <w:p>
      <w:r>
        <w:t>Vorliegend sieht die Beschwerdeführerin (act. 1 Rz 3.4) eine Aktenwidrigkeit darin, dass die Vorinstanz eine Klage gutgeheissen habe, die im Grunde illiquide sei. Illiquid deshalb, da nicht zunächst die inhaltliche Beschreibung der Dienstbar- keit mittels Feststellungsklage geklärt worden sei. Wie oben unter B. 2. ausge- führt, handelt es sich bei der Klärung des Inhaltes einer materiellen Bestimmung um eine Frage des materiellen Rechts, weshalb im vorliegenden Verfahren auf die genannte Rüge nicht eingetreten wird.</w:t>
      </w:r>
    </w:p>
    <w:p>
      <w:r>
        <w:rPr>
          <w:b/>
        </w:rPr>
        <w:t>E. 48</w:t>
      </w:r>
    </w:p>
    <w:p>
      <w:r>
        <w:t>Der Auffassung der Beschwerdeführerin (act. 1 Rz 7), wonach die Vorinstanz von einer aktenwidrigen Annahme ausgehe, indem sie die Wegräumung der Mauer mit der Entfernung der beiden nördlichsten Parkplätze verbinde, kann nicht gefolgt werden. Die Vorinstanz macht die Entfernung der beiden Parkplätze nicht,</w:t>
      </w:r>
    </w:p>
    <w:p>
      <w:r>
        <w:t>- 18 - wie von der Beschwerdeführerin behauptet, von der Beseitigung der Mauer ab- hängig, sondern sie führt aus, dass die Beschwerdeführerin beide Parkplätze auch dann zwingend entfernen müsste, wenn die Beschwerdeführerin das spitz- winklige Blumenbeet neben dem unteren Hauseingang entfernen würde und dort ein Fahrzeug hinstellen wollte (act. 2, S 11). Dies stellt aber nur eine Alternativbe- gründung dar, da die beiden Parkplätze auch bei Beibehaltung der heutigen bau- lichen Begebenheiten entfernt werden müssen, um der Beschwerdegegnerin die Zufahrt über das belastete Grundstück an die Grenze ihres Grundstückes zu ge- währleisten (act. 2, S 12).</w:t>
      </w:r>
    </w:p>
    <w:p>
      <w:r>
        <w:rPr>
          <w:b/>
        </w:rPr>
        <w:t>E. 49</w:t>
      </w:r>
    </w:p>
    <w:p>
      <w:r>
        <w:t>Die Rüge der Beschwerdeführerin, dass eine Negierung von Masszahlen krass willkürlich sei, da als allgemein bekannt werden dürfe, dass ein Parkplatz regelmässig Markierungen aufweise, die auf Masseinheiten basiere, ist ungenü- gend substantiiert.</w:t>
      </w:r>
    </w:p>
    <w:p>
      <w:r>
        <w:rPr>
          <w:b/>
        </w:rPr>
        <w:t>E. 50</w:t>
      </w:r>
    </w:p>
    <w:p>
      <w:r>
        <w:t>In Bezug auf die geltend gemachte Aktenwidrigkeit (§ 281 Ziff. 2) aufgrund des angeblichen Widerspruchs zwischen dem Urteil der Vorinstanz und deren ei- genen Feststellungen, dass das herrschende Grundstück nie auf das dienende Grundstück ausgerichtet gewesen sei, sondern immer stillschweigend die Parzel- le Kat. Nr. 6969 einbezogen habe, und dass sich der Grenzpunkt in der Mitte der Einfahrt befindet (act. 1 N 8.3), ist anzumerken, dass die Vorinstanz das (eben- falls der Beschwerdeführerin gehörende) Grundstück Kat. Nr. 0000 durchaus in ihre Entscheidfindung einbezogen hat (act. 2. S. 6 oben und S. 9 unten). Die Vor- instanz hält zutreffend fest, dass sich die Dienstbarkeit, die Streitgegenstand bil- det, nur auf das Grundstück Kat. Nr. 6531, nicht auf das Grundstück Kat. Nr. 0000 bezog. Die diesbezügliche Rüge der Beschwerdeführerin erscheint angesichts der unwidersprochen geblieben Feststellung der Voristanz, die Beschwerdeführerin sei nicht bereit gewesen, der Beschwerdegegnerin ein im Grundbuch angemerk- tes Zufahrtsrecht über das Grundstück Kat.. Nr. 6969 einzuräumen, geradezu missbräuchlich. 51. Bezüglich der im gleichen Zusammenhang (act. 1 N 8.3) vorgebrachten Rüge, es hätte diesbezüglich offenkundig ein Beweisverfahren durchgeführt werden müsse, muss die Beschwerdeführerin, wie oben unter B. 5. f. ausgeführt, eben-</w:t>
      </w:r>
    </w:p>
    <w:p>
      <w:r>
        <w:t>- 19 - falls auf das bundesgerichtliche Beschwerdeverfahren verwiesen werden. Ob eine solche Rüge angesichts der oben Ziff. 50 angeführten Umstände erfolgreich wäre, braucht hier nicht beurteilt zu werden. 52. Die Rüge der Aktenwidrigkeit bzw. willkürlichen tatsächlichen Annahme ist somit abzuweisen, soweit darauf eingetreten werden kann VII. Die Beschwerde ist aus den oben genannten Gründen abzuweisen, soweit darauf eingetreten werden kann. Damit entfällt die ihr verliehene aufschiebende Wirkung. VIII. Ausgangsgemäss wird die Beschwerdeführerin für das Kassationsverfahren kos- ten- und entschädigungspflichtig (§ 64 Abs. 2 ZPO, § 68 Abs. 1 ZPO). IX. Gegen diesen Entscheid ist, wie bereits unter II. 2. hiervor ausgeführt, Beschwer- de in Zivilsachen an das Bundesgericht gemäss Art. 72 ff. BGG zulässig.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