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AA080087 vom 9. September 2008</w:t>
      </w:r>
    </w:p>
    <w:p>
      <w:r>
        <w:t>Zh Kassationsgericht, 2008-09-09, DE</w:t>
      </w:r>
    </w:p>
    <w:p>
      <w:r>
        <w:rPr>
          <w:b/>
        </w:rPr>
        <w:t xml:space="preserve">Quelle: </w:t>
      </w:r>
      <w:r>
        <w:t>https://mcp.opencaselaw.ch/entscheid/zh_kassationsgericht_AA080087</w:t>
      </w:r>
    </w:p>
    <w:p>
      <w:r>
        <w:t>FR: ZH_KASSATIONSGERICHT AA080087 du 9 septembre 2008</w:t>
      </w:r>
    </w:p>
    <w:p>
      <w:r>
        <w:t>IT: ZH_KASSATIONSGERICHT AA080087 del 9 settembre 2008</w:t>
      </w:r>
    </w:p>
    <w:p>
      <w:pPr>
        <w:pStyle w:val="Heading2"/>
      </w:pPr>
      <w:r>
        <w:t>Erwägungen</w:t>
      </w:r>
    </w:p>
    <w:p>
      <w:r>
        <w:rPr>
          <w:b/>
        </w:rPr>
        <w:t>E. 4</w:t>
      </w:r>
    </w:p>
    <w:p>
      <w:r>
        <w:t>September 2008 wieder abgenommenen (KG act. 14) Frist keine Beschwerde- antwort ein. 2. Mit Eingabe vom 3. September 2008 zog der Beschwerdeführer die Nich- tigkeitsbeschwerde unter Hinweis auf das zwischenzeitlich anhängig gemachte Scheidungsverfahren, anlässlich dessen die Frage des Kinderunterhalts im Ein- verständnis beider Parteien einer neuen Prüfung unterzogen werde, zurück (KG act. 13). Die betreffende Erklärung ist zulässig und klar, weshalb das Kassations- verfahren als durch Rückzug der Beschwerde erledigt abzuschreiben ist (vgl.</w:t>
      </w:r>
    </w:p>
    <w:p>
      <w:r>
        <w:t>- 4 - § 188 Abs. 3 ZPO; s.a. von Rechenberg, Die Nichtigkeitsbeschwerde in Zivil- und Strafsachen nach zürcherischem Recht, 2. A., Zürich 1986, S. 17; Frank/Sträuli/ Messmer, Kommentar zur zürcherischen Zivilprozessordnung, 3. A., Zürich 1997, N 11 vor §§ 259 ff. ZPO; Guldener, Schweizerisches Zivilprozessrecht, 3. A., Zü- rich 1979, S. 499/500; Walder-Richli, Zivilprozessrecht, 4. A., Zürich 1996, § 39 Rz 19). Anzumerken bleibt, dass der Abschreibungsentscheid in die sachliche Kom- petenz des Gerichtspräsidenten fällt (§ 122 Abs. 3 GVG; von Rechenberg, a.a.O., S. 50), weshalb er mittels (einsprachefähiger; vgl. § 122 Abs. 4 GVG) Präsidial- verfügung erfolgen kann (s.a. Hauser/Schweri, Kommentar zum zürcherischen Gerichtsverfassungsgesetz, Zürich 2002, N 8 zu § 122 GVG). 3.a) Wie bereits erwähnt, wurde dem Beschwerdeführer von der Vorinstanz die unentgeltliche Rechtspflege im Sinne von §§ 84/87 ZPO bzw. Art. 29 Abs. 3 BV gewährt (s. KG act. 2 S. 23, Erw. III/2, und S. 24). Grundsätzlich gilt eine ein- mal erteilte Bewilligung des prozessualen Armenrechts nicht nur für die angerufe- ne Instanz, sondern auch für allfällige Rechtsmittelverfahren. Immerhin kann die Rechtsmittelinstanz für ihr Verfahren einen selbstständigen Entscheid treffen (§ 90 Abs. 2 ZPO; Frank/Sträuli/Messmer, a.a.O., N 3 zu § 90 ZPO; ZR 97 Nr. 28, Erw. 10/b; s.a. § 91 ZPO). Dazu besteht jedoch kein Anlass: Einerseits enthalten die Akten keine Hinweise, dass sich an der von den Vo- rinstanzen festgestellten Mittellosigkeit des Beschwerdeführers inzwischen etwas geändert hätte. Andererseits darf die Beschwerde aufgrund der bei der Be- urteilung der Armenrechtsfrage vorzunehmenden summarischen Prüfung auch nicht als von vornherein aussichtslos im Sinne von § 84 Abs. 1 ZPO bzw. Art. 29 Abs. 3 BV gelten (vgl. dazu Frank/Sträuli/Messmer, a.a.O., N 21a zu § 84 ZPO; BGE 129 I 135 f.; 128 I 236; 125 II 275 m.w.Hinw.; ZR 101 Nr. 14, Erw. 3; 69 Nr. 29). Daran vermag auch der Rückzug der Beschwerde nichts zu ändern, sind de- ren Erfolgsaussichten doch nicht ex post (aufgrund des Verfahrensausgangs), sondern vielmehr (ex ante) nach den Verhältnissen zu beurteilen, wie sie sich im Zeitpunkt der Einreichung des Gesuchs oder – bei bereits von der unteren Instanz erteilter Bewilligung der unentgeltlichen Rechtspflege – des Rechtsmittels präsen-</w:t>
      </w:r>
    </w:p>
    <w:p>
      <w:r>
        <w:t>- 5 - tierten (Frank/Sträuli/Messmer, a.a.O., N 21b zu § 84 ZPO; RB 1997, Nr. 76; ZR 98 Nr. 12, Erw. 3/b; BGE 129 I 136; 128 I 236; 125 II 275; 124 I 307). Ausserdem liefe im vorliegenden Fall ein Entzug des prozessualen Armenrechts im Kassati- onsverfahren (wegen der mit dem Rückzug einhergehenden Verwirkung der Er- folgsaussichten der Beschwerde) darauf hinaus, den Beschwerdeführer gleich- sam für seine Bereitschaft zu bestrafen, auf die (materielle) Beurteilung der vor- liegenden Beschwerde zu verzichten und einer Neubeurteilung der (Kinder-)Un- terhaltspflicht (lediglich) im Rahmen des zwischenzeitlich eingeleiteten Schei- dungsverfahrens (auf gemeinsames Begehren) zuzustimmen (vgl. KG act. 13), was als äusserst stossend erschiene. Schliesslich ist auch die sachliche Notwen- digkeit rechtlicher Verbeiständung des über keine juristischen Kenntnisse verfü- genden Beschwerdeführers im Kassationsverfahren zu bejahen, zumal Letzteres wegen der gesetzlichen Anforderungen an die Begründung einer Nichtigkeitsbe- schwerde und des im Beschwerdeverfahren geltenden Rügeprinzips (§ 288 Ziff. 3 und § 290 ZPO) mit besonderen Schwierigkeiten verbunden ist, denen eine nicht rechtskundige Person nicht ohne weiteres gewachsen ist. Die dem Beschwerde- führer von der Vorinstanz gewährte unentgeltliche Rechtspflege gilt somit auch für das Kassationsverfahren. Eines speziellen Antrags (vgl. KG act. 1 S. 2, Antrag 5) oder Entscheids bedarf es dazu nicht. b) Gleiches gilt mit Bezug auf die Beschwerdegegnerin, welche in ihrer Ein- gabe vom 19. Juni 2008 (ebenfalls) ausdrücklich am Gesuch um Gewährung des prozessualen Armenrechts festhält (vgl. KG act. 9 S. 2). Auch für sie gilt die von der Erstinstanz erteilte und bis anhin nicht entzogene (vgl. KG act. 2 S. 23, Erw. III/2) Bewilligung der (umfassenden) unentgeltlichen Rechtspflege im Kassations- verfahren weiter. 4.a) Die Kosten des Kassationsverfahrens sind in Anwendung der auch im Rechtsmittelverfahren geltenden allgemeinen Regel (§ 64 Abs. 2 ZPO) dem als (im Kassationsverfahren) unterliegende Partei zu betrachtenden Beschwerdefüh- rer aufzuerlegen (ZR 87 Nr. 37; s.a. Frank/Sträuli/Messmer, a.a.O., N 18 zu § 64 ZPO). Zufolge der ihm gewährten unentgeltlichen Prozessführung sind sie aber einstweilen auf die Gerichtskasse zu nehmen. Zugleich ist der Beschwerdeführer</w:t>
      </w:r>
    </w:p>
    <w:p>
      <w:r>
        <w:t>- 6 - auf § 92 ZPO hinzuweisen, wonach das Gericht eine Partei zur Nachzahlung der ihr nach §§ 84/87 ZPO erlassenen Gerichtskosten und Auslagen für ihre Vertre- tung verpflichten kann, sollte sie später in günstige wirtschaftliche Verhältnisse kommen. Bei der Bemessung der Gerichtsgebühr, die gemäss § 2 Abs. 3 GGebV sämtliche Kosten abdeckt und deren Höhe sich grundsätzlich nach § 5 Abs. 3 in Verbindung mit § 4 Abs. 3 GGebV richtet (vgl. § 13 Abs. 1 GGebV), ist zu berück- sichtigen, dass der Rückzug in einem Zeitpunkt erklärt wurde, in dem seitens des Gerichts noch keine inhaltliche Auseinandersetzung mit der Beschwerde bzw. materielle Prüfung der darin erhobenen Rügen erfolgt ist, was zu einer erhebli- chen Reduktion der Gerichtsgebühr führt (§ 10 Abs. 1 GGebV analog). b) Da die Bewilligung der unentgeltlichen Rechtspflege nicht von der Pflicht zur Leistung einer Prozessentschädigung an die Gegenpartei befreit (vgl. § 85 ZPO; Frank/Sträuli/Messmer, a.a.O., N 2 zu § 84 ZPO, N 1 zu § 85 ZPO und N 14b zu § 68 ZPO), ist der (für kostenpflichtig erklärte) Beschwerdeführer au- sserdem zu verpflichten, der unentgeltlichen Rechtsvertreterin der Beschwerde- gegnerin (vgl. § 89 Abs. 1 ZPO) für die (auch ohne Beantwortung der Beschwer- de) durch das Kassationsverfahren verursachten Kosten und Umtriebe eine Pro- zessentschädigung auszurichten (§ 68 Abs. 1 ZPO), welche im Rahmen der §§ 3 ff. AnwGebV (insbes. § 4 Abs. 3 in Verbindung mit § 3 Abs. 4 und 5, § 12 Abs. 1 AnwGebV) sowie unter Berücksichtigung der von der klägerischen Rechts- anwältin eingereichten Honorarnote (KG act. 16) nach Ermessen festzusetzen ist (§ 69 ZPO; Frank/Sträuli/Messmer, a.a.O., N 2 zu § 69 ZPO [und N 13 zu § 68 ZPO]). Im Falle der Uneinbringlichkeit wäre diese Entschädigung aus der Ge- richtskasse zu leisten (§ 89 Abs. 2 ZPO), und der Anspruch ginge auf die Ge- richtskasse über (§ 89 Abs. 3 ZPO). c) Schliesslich ist der unentgeltlichen Rechtsvertreterin des Beschwerdefüh- rers für ihre Bemühungen und Auslagen im vorliegenden Kassationsverfahren ei- ne nach denselben Vorschriften (der AnwGebV) zu bemessende Entschädigung aus der Gerichtskasse auszurichten (§ 89 Abs. 2 ZPO sowie § 16 AnwGebV; Frank/Sträuli/Messmer, a.a.O., N 9 zu § 89 ZPO).</w:t>
      </w:r>
    </w:p>
    <w:p>
      <w:r>
        <w:t>- 7 -</w:t>
      </w:r>
    </w:p>
    <w:p>
      <w:r>
        <w:rPr>
          <w:b/>
        </w:rPr>
        <w:t>E. 5</w:t>
      </w:r>
    </w:p>
    <w:p>
      <w:r>
        <w:t>Zwar handelt es sich bei der vorliegenden (Abschreibungs-)Verfügung, die das (Eheschutz-)Verfahren als Ganzes abschliesst, um einen Endentscheid im Sinne von Art. 90 BGG (BGE 133 III 395 f., Erw. 4). Sie stellt jedoch keinen (kantonal) letztinstanzlichen Entscheid im Sinne von Art. 75 bzw. Art. 113 BGG dar, wäre gegen sie doch zunächst Einsprache nach § 122 Abs. 4 GVG zu erhe- ben (ZR 95 Nr. 9; Hauser/Schweri, a.a.O., N 9 zu § 122 GVG; Frank/Sträuli/Mess- mer, a.a.O., Anh. II, N 2 zu § 122 GVG). Folglich steht gegen die vorliegende Verfügung weder die (ordentliche) Beschwerde in Zivilsachen gemäss Art. 72 ff. BGG (insbes. Art. 72 Abs. 1 in Verbindung mit Art. 74 Abs. 1 lit. b sowie Art. 51 Abs. 1 lit. a und Abs. 4 BGG; vgl. BGE 133 III 395, Erw. 2) noch die subsidiäre Verfassungsbeschwerde nach Art. 113 ff. BGG offen. Indessen beginnt gemäss Art. 100 Abs. 6 BGG mit der Zustellung des Ent- scheids des Kassationsgerichts (als ausserordentlicher Rechtsmittelinstanz) grundsätzlich die dreissigtägige Frist zur Anfechtung des obergerichtlichen Re- kursentscheids beim Bundesgericht (neu) zu laufen (s.a. KG act. 2 S. 25, Disp.- Ziff. 9 Abs. 2 a.E.). Dabei ist jedoch zu beachten, dass nach höchstrichterlicher Praxis eine direkter Weiterzug von Entscheiden des zürcherischen Obergerichts betreffend Eheschutzmassnahmen an das Bundesgericht nicht oder jedenfalls nur in Ausnahmefällen möglich ist, da es derartigen Entscheiden angesichts der bloss beschränkten bundesgerichtlichen Kognition (Art. 98 BGG), welche kaum weiter- gehe als diejenige des Kassationsgerichts nach § 281 Ziff. 1-3 ZPO, regelmässig am Erfordernis der Letztinstanzlichkeit (Art. 75 Abs. 1 bzw. Art. 113 BGG) fehle (vgl. BGE 133 III 585 ff.; BGer 5A_117/2007 vom 11.10.2007, Erw. 3.2). Zudem könnten im Lichte der bundesgerichtlichen Rechtsprechung zu Art. 100 Abs. 6 BGG allenfalls Zweifel aufkommen, ob diese Vorschrift auch dann Anwendung findet, wenn das ausserordentliche Rechtsmittel zurückgezogen wird (vgl. dazu BGer 4A_216/2008 vom 20.8.2008, Erw. 1.2; ferner auch BGE 134 III 92 ff., Erw. 1.2 und 1.4; Rüetschi, Wann gilt Art. 100 Abs. 6 BGG?, AnwRev 2008, S. 158 ff.; Jent-Sørensen/Reiser, Kantonal-zürcherische Nichtigkeitsbeschwerde und Be- schwerde in Zivilsachen ans Bundesgericht, SJZ 2008, S. 367/368). Darüber hätte gegebenenfalls das Bundesgericht zu entscheiden.</w:t>
      </w:r>
    </w:p>
    <w:p>
      <w:r>
        <w:t>- 8 - Der 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