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AA080050 vom 2. April 2008</w:t>
      </w:r>
    </w:p>
    <w:p>
      <w:r>
        <w:t>Zh Kassationsgericht, 2008-04-02, DE</w:t>
      </w:r>
    </w:p>
    <w:p>
      <w:r>
        <w:rPr>
          <w:b/>
        </w:rPr>
        <w:t xml:space="preserve">Quelle: </w:t>
      </w:r>
      <w:r>
        <w:t>https://mcp.opencaselaw.ch/entscheid/zh_kassationsgericht_AA080050</w:t>
      </w:r>
    </w:p>
    <w:p>
      <w:r>
        <w:t>FR: ZH_KASSATIONSGERICHT AA080050 du 2 avril 2008</w:t>
      </w:r>
    </w:p>
    <w:p>
      <w:r>
        <w:t>IT: ZH_KASSATIONSGERICHT AA080050 del 2 aprile 2008</w:t>
      </w:r>
    </w:p>
    <w:p>
      <w:pPr>
        <w:pStyle w:val="Heading2"/>
      </w:pPr>
      <w:r>
        <w:t>Erwägungen</w:t>
      </w:r>
    </w:p>
    <w:p>
      <w:r>
        <w:rPr>
          <w:b/>
        </w:rPr>
        <w:t>E. 1</w:t>
      </w:r>
    </w:p>
    <w:p>
      <w:r>
        <w:t>Mit Verfügung vom 14. November 2007 befahl der Einzelrichter im sum- marischen Verfahren des Bezirkes Zürich – nach der gleichentags durchgeführten Verhandlung – X. (nachfolgend Beschwerdeführer), die 4 ½-Zimmerwohnung im</w:t>
      </w:r>
    </w:p>
    <w:p>
      <w:r>
        <w:rPr>
          <w:b/>
        </w:rPr>
        <w:t>E. 3</w:t>
      </w:r>
    </w:p>
    <w:p>
      <w:r>
        <w:t>a) Die Beschwerde führende Partei muss den behaupteten Nichtigkeits- grund in der Beschwerdeschrift selbst nachweisen (vgl. § 288 Abs. 1 Ziff. 3 ZPO). Dies bedingt, dass sie sich konkret mit dem angefochtenen Entscheid bzw. den darin enthaltenen Erwägungen auseinandersetzt. Neue tatsächliche Behauptun-</w:t>
      </w:r>
    </w:p>
    <w:p>
      <w:r>
        <w:t>- 3 - gen, Einreden, Bestreitungen und Beweise, die eine Vervollständigung des Pro- zessstoffes bezwecken, über welchen der erkennende (Sach-)Richter zu ent- scheiden hatte, sind im Beschwerdeverfahren nicht zulässig. Zu prüfen ist nur, ob der angefochtene Entscheid aufgrund des bei der Vorinstanz gegebenen Akten- standes an einem Nichtigkeitsgrund im Sinne von § 281 ZPO leidet. In der Be- schwerdebegründung sind sodann insbesondere die angefochtenen Stellen des vorinstanzlichen Entscheides zu bezeichnen und diejenigen Aktenstellen, aus de- nen sich ein Nichtigkeitsgrund ergeben soll, im Einzelnen anzugeben. Es ist nicht Sache der Kassationsinstanz, in den vorinstanzlichen Akten nach den Grundlagen des geltend gemachten oder gar eines anderen Nichtigkeitsgrundes zu suchen (vgl. § 290 ZPO; ZR 91/92 Nr. 6; vgl. auch BGE 127 I 42 E. 3.b sowie ZR 81 Nr. 88 E. 6; von Rechenberg, Die Nichtigkeitsbeschwerde in Zivil- und Strafsa- chen nach zürcherischem Recht, 2. Aufl., Zürich 1986, S. 16 ff.; Spühler/Vock, Rechtsmittel in Zivilsachen im Kanton Zürich und im Bund, Zürich 1999, S. 56 f. und S. 72 f.). Die unangefochten gebliebenen Entscheidgründe des vorinstanzli- chen Sachrichters haben Bestand, und die Nicht-Einhaltung der Begründungsan- forderungen hat zur Folge, dass auf entsprechende Beschwerdevorbringen nicht eingetreten werden kann. b) Soweit der Beschwerdeführer im Kassationsverfahren vorbringt, er sei in der Lage, Ende März sämtliche Mietzinsausstände des Jahres 2007 zu beglei- chen, da per 25. März 2008 die Auszahlung seiner Insolvenzentschädigung erfol- ge und er diese vollumfänglich der Beschwerdegegnerin werde zukommen lassen (KG act. 1), so ist dieses Vorbringen nicht geeignet, einen Nichtigkeitsgrund nachzuweisen. Dasselbe gilt für den Hinweis des Beschwerdeführers, er gehe seit Februar einer geregelten Arbeit nach und habe eine Mitbewohnerin gefunden, weshalb er in der Lage sei, in Zukunft den Mietzins pünktlich und korrekt zu ent- richten (KG act. 1). Der Beschwerdeführer legt mit seinen Ausführungen nicht dar, inwiefern der vorinstanzliche Entscheid fehlerhaft, d.h. mit einem Nichtigkeits- grund behaftet wäre. c) Auf die Nichtigkeitsbeschwerde kann nach dem Gesagten nicht eingetre- ten werden.</w:t>
      </w:r>
    </w:p>
    <w:p>
      <w:r>
        <w:t>- 4 -</w:t>
      </w:r>
    </w:p>
    <w:p>
      <w:r>
        <w:rPr>
          <w:b/>
        </w:rPr>
        <w:t>E. 4</w:t>
      </w:r>
    </w:p>
    <w:p>
      <w:r>
        <w:t>Ausgangsgemäss wird der unterliegende Beschwerdeführer kostenpflich- tig (§ 64 Abs. 2 ZPO). Da der Beschwerdegegnerin vor Kassationsgericht keine entschädigungspflichtigen Kosten und Umtriebe (im Sinne von § 68 Abs. 1 ZPO) entstanden sind, fällt die Zusprechung einer Prozessentschädigung ausser Be- tracht.</w:t>
      </w:r>
    </w:p>
    <w:p>
      <w:r>
        <w:rPr>
          <w:b/>
        </w:rPr>
        <w:t>E. 5</w:t>
      </w:r>
    </w:p>
    <w:p>
      <w:r>
        <w:t>Hinsichtlich der Zulässigkeit eines bundesrechtlichen Rechtsmittels gegen den vorliegenden Entscheid kann einerseits auf die (zutreffenden) vorinstanzli- chen Erwägungen verwiesen werden (KG act. 2 S. 3 f.). Anzumerken ist, dass das Bundesgericht in zwei Entscheiden im Jahr 2007 festgehalten hat, bei einem Ausweisungsverfahren sei der Streitwert gleichzusetzen mit dem Wert, den die Nutzung der Wohnung während der Zeit habe, während der die Ausweisung nicht vollzogen werden könne (vgl. BGer 4A_72/2007 vom 22. August 2007, Erw. 2.2; 4A_266/2007 vom 26. September 2007, Erw. 2.2.2). Seit dem erstinstanzlich verfügten Auszugstermin (30. November 2007) bis zum Entscheid des Kassati- onsgerichts ergäbe sich somit bei einem monatlichen Bruttomietzins von Fr. 2'014.-- (vgl. OG act. 2 S. 2) ein Streitwert von weniger als Fr. 15'000.--. An- derseits bleibt im Hinblick auf Art. 100 Abs. 6 BGG (Beginn des Fristenlaufs zur Anfechtung des obergerichtlichen Entscheides mit Beschwerde ans Bundesge- richt mit Eröffnung des kassationsgerichtlichen Entscheides) anzumerken, dass das Bundesgericht über die Anwendung dieser Bestimmung zu entscheiden hat, wenn - wie hier - auf das ausserordentliche Rechtsmittel mangels Erfüllung der formellen Anforderungen an eine kantonale Nichtigkeitsbeschwerde gar nicht ein- getreten wird (vgl. BGer 4A_263/2007 vom 12. November 2007, Erw. 1.2). Die dem Beschwerdeführer (gestützt auf Art. 112 Abs. 1 lit. d BGG) zu erteilende Rechtsmittelbelehrung steht unter den erwähnten Vorbehalten.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