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AA070140 vom 2. Oktober 2008</w:t>
      </w:r>
    </w:p>
    <w:p>
      <w:r>
        <w:t>Zh Kassationsgericht, 2008-10-02, DE</w:t>
      </w:r>
    </w:p>
    <w:p>
      <w:r>
        <w:rPr>
          <w:b/>
        </w:rPr>
        <w:t xml:space="preserve">Quelle: </w:t>
      </w:r>
      <w:r>
        <w:t>https://mcp.opencaselaw.ch/entscheid/zh_kassationsgericht_AA070140</w:t>
      </w:r>
    </w:p>
    <w:p>
      <w:r>
        <w:t>FR: ZH_KASSATIONSGERICHT AA070140 du 2 octobre 2008</w:t>
      </w:r>
    </w:p>
    <w:p>
      <w:r>
        <w:t>IT: ZH_KASSATIONSGERICHT AA070140 del 2 ottobre 2008</w:t>
      </w:r>
    </w:p>
    <w:p>
      <w:pPr>
        <w:pStyle w:val="Heading2"/>
      </w:pPr>
      <w:r>
        <w:t>Erwägungen</w:t>
      </w:r>
    </w:p>
    <w:p>
      <w:r>
        <w:rPr>
          <w:b/>
        </w:rPr>
        <w:t>E. 7</w:t>
      </w:r>
    </w:p>
    <w:p>
      <w:r>
        <w:t>Zusammenfassend ergibt sich, dass der Beschwerdeführer sowohl hin- sichtlich der Hauptbegründung als auch der Eventualbegründung des vorinstanz- lichen Entscheides Nichtigkeitsgründe nachzuweisen vermochte, was zur Aufhe- bung des angefochtenen Entscheides führt. III. Die Beschwerdegegnerin hat die Abweisung der Nichtigkeitsbeschwerde beantragt (KG act. 13 S. 3). Sie unterliegt mit diesem Antrag. Ausgangsgemäss sind ihr die Kosten des Beschwerdeverfahrens aufzuerlegen (§ 64 Abs. 2 ZPO). Ferner ist sie zu verpflichten, dem Beschwerdeführer für die anwaltlichen Auf- wendungen im Beschwerdeverfahren eine angemessene Prozessentschädigung zu bezahlen (§ 68 Abs. 1 ZPO).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