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AA070019 vom 20. Dezember 2007</w:t>
      </w:r>
    </w:p>
    <w:p>
      <w:r>
        <w:t>Zh Kassationsgericht, 2007-12-20, DE</w:t>
      </w:r>
    </w:p>
    <w:p>
      <w:r>
        <w:rPr>
          <w:b/>
        </w:rPr>
        <w:t xml:space="preserve">Quelle: </w:t>
      </w:r>
      <w:r>
        <w:t>https://mcp.opencaselaw.ch/entscheid/zh_kassationsgericht_AA070019</w:t>
      </w:r>
    </w:p>
    <w:p>
      <w:r>
        <w:t>FR: ZH_KASSATIONSGERICHT AA070019 du 20 décembre 2007</w:t>
      </w:r>
    </w:p>
    <w:p>
      <w:r>
        <w:t>IT: ZH_KASSATIONSGERICHT AA070019 del 20 dicembre 2007</w:t>
      </w:r>
    </w:p>
    <w:p>
      <w:pPr>
        <w:pStyle w:val="Heading2"/>
      </w:pPr>
      <w:r>
        <w:t>Erwägungen</w:t>
      </w:r>
    </w:p>
    <w:p>
      <w:r>
        <w:rPr>
          <w:b/>
        </w:rPr>
        <w:t>E. 1</w:t>
      </w:r>
    </w:p>
    <w:p>
      <w:r>
        <w:t>Y. (nachfolgend Beschwerdegegner) liess im Juni 2004 beim Handelsge- richt des Kantons Zürich (Vorinstanz) eine Schadenersatzklage gegen die W. AG einreichen. Er machte geltend, die Beklagte sei infolge fehlerhafter Finanzplanung für den erlittenen Verlust auf seinem Anlagevermögen verantwortlich und deshalb zu einer Zahlung in der Höhe von Fr. 4'386'196.-- zuzüglich Zins zu verpflichten (HG act. 1 S. 2). Mit Urteil vom 21. Dezember 2006 wurde die Beklagte zur Lei- stung von Fr. 720'000.-- nebst Zins verpflichtet, im Mehrbetrag wurde die Klage abgewiesen (HG act. 27 bzw. KG act. 2 S. 40).</w:t>
      </w:r>
    </w:p>
    <w:p>
      <w:r>
        <w:rPr>
          <w:b/>
        </w:rPr>
        <w:t>E. 2</w:t>
      </w:r>
    </w:p>
    <w:p>
      <w:r>
        <w:t>Gegen diesen Entscheid erhob die X. AG (vormals W. AG; nachfolgend Beschwerdeführerin) rechtzeitig kantonale Nichtigkeitsbeschwerde, mit welcher sie beantragt, das angefochtene Urteil des Handelsgerichts sei aufzuheben und die Klage sei vollumfänglich abzuweisen (KG act. 1 S. 2). Die der Beschwerdeführerin mit Präsidialverfügung vom 12. Februar 2007 auferlegte Kaution in der Höhe von Fr. 26'000.-- (KG act. 5) ging fristgemäss ein (KG act. 7). Die Vorinstanz hat auf Vernehmlassung verzichtet (KG act. 17). Mit Eingabe vom 21. Februar 2007 stellte der Beschwerdegegner ein Sistie- rungsgesuch mit der Begründung, er habe beim Handelsgericht eine Berichtigung des angefochtenen Entscheides beantragt (KG act. 10). Nachdem dem Be- schwerdegegner die Frist zur Beantwortung der Beschwerde mit Verfügung vom 23. Februar 2007 abgenommen worden war (KG act. 13), wurde das Beschwer- deverfahren mit Präsidialverfügung vom 8. März 2007 bis zum Entscheid des Handelsgerichts über das Berichtigungsbegehren sistiert (KG act. 19). Nach Ein- gang des Beschlusses des Handelsgerichts vom 9. März 2007 (KG act. 22) wurde das Beschwerdeverfahren mit Verfügung vom 20. April 2007 wieder aufgenom- men (KG act. 25). Gleichzeitig wurde dem Beschwerdegegner die Frist zur Be- antwortung der Beschwerde neu angesetzt und beiden Parteien die Möglichkeit</w:t>
      </w:r>
    </w:p>
    <w:p>
      <w:r>
        <w:t>- 3 - einer Stellungnahme zur Frage der allfälligen Gegenstandslosigkeit des Be- schwerdeverfahrens und dessen Kosten- und Entschädigungsfolgen eingeräumt. Die Beschwerdeführerin beantragte mit ihrer Stellungnahme, das Beschwer- deverfahren sei an die Hand zu nehmen und der Berichtigungsbeschluss des Handelsgerichts sei aus den Akten zu weisen (KG act. 27). Der Beschwerdegeg- ner stellte mit seiner Beschwerdeantwort das Begehren, der Berichtigungsbe- schluss sei im Beschwerdeverfahren zu berücksichtigen und auf die Nichtigkeits- beschwerde sei nicht einzutreten, eventualiter sei sie abzuweisen (KG act. 30). Die Eingabe des Beschwerdegegners wurde der Beschwerdeführerin zugestellt (KG act. 32, 33/1).</w:t>
      </w:r>
    </w:p>
    <w:p>
      <w:r>
        <w:rPr>
          <w:b/>
        </w:rPr>
        <w:t>E. 3</w:t>
      </w:r>
    </w:p>
    <w:p>
      <w:r>
        <w:t>Beide Parteien habe gegen das Urteil des Handelsgerichts vom 21. Dezember 2006 Berufung an das Bundesgericht erklärt (HG Prot. S. 14 und 15). II . 1. Zunächst ist zu klären, wie es sich mit dem Berichtigungsentscheid (KG act. 22) der Vorinstanz verhält. a) Der Beschwerdegegner stellte mit seinem Berichtigungsgesuch das Be- gehren, im Urteil des Handelsgerichts sei auf den Seiten 32, 35, 36 und 37 die versehentliche Bezeichnung '70% Aktien und 30% Obligationen' jeweils zu erset- zen durch die richtige Bezeichnung mit dem Wortlaut 70% Obligationen und 30% Aktien. Gemäss Berichtigungsentscheid handelte es sich bei der im angefochte- nen Urteil aufgeführten Angabe um ein Versehen. Aus der gesamten Schadens- berechnung werde klar, dass bezüglich des herangezogenen hypothetischen Vergleichsportfolios stets eine Aufteilung des Vermögens in 70 % Obligationen und 30 % Aktien gemeint gewesen sei. Entsprechend sei der offenkundige Schreibfehler zu berichtigen (KG act. 22). b) Der Entscheid über ein Berichtigungsbegehren ist wie jener über ein Er- läuterungsbegehren ein Erledigungsentscheid und deshalb analog wie jener an-</w:t>
      </w:r>
    </w:p>
    <w:p>
      <w:r>
        <w:t>- 4 - fechtbar (Hauser/Schweri, Kommentar zum zürcherischen Gerichtsverfassungs- gesetz, Zürich 2002, N 7 zu § 167 GVG). Die von der Beschwerdeführerin erho- benen Einwände gegen den Berichtigungsentscheid der Vorinstanz (KG act. 27 S. 2 f.) wären demzufolge in dem dafür vorgesehenen Rechtsmittelverfahren vor- zutragen. Ein solches Rechtsmittelverfahren wurde jedoch - soweit ersichtlich - von keiner der Parteien anhängig gemacht. Im Weiteren ist festzuhalten, dass das Berichtigungsverfahren vom Be- schwerdeverfahren unabhängig und damit klar zu trennen ist. Entsprechend ist nicht einzusehen, weshalb der - rechtskräftige - Berichtigungsentscheid im Be- schwerdeverfahren - auch wenn die Vorinstanz im Beschwerdeverfahren auf eine Vernehmlassung verzichtete - nicht berücksichtigt werden könnte, wie von der Beschwerdeführerin geltend gemacht wird (KG act. 27 S. 3). Dass möglicherwei- se ein Teil einer bereits erhobenen Nichtigkeitsbeschwerde durch den Erlass ei- nes Berichtigungsentscheides gegenstandslos wird, liegt in der (teilweisen) Par- allelität der beiden Verfahren begründet. Es besteht somit weder ein Anlass noch eine Möglichkeit, den Berichti- gungsentscheid des Handelsgerichts vom 9. März 2007 aus dem Recht zu wei- sen. Soweit Rügen der Beschwerdeführerin demnach darauf beruhen, die Vorin- stanz sei von der Aufteilung 70 % Aktien und 30 % Obligationen ausgegangen, so ist diesen Rügen durch den Berichtigungsentscheid die Grundlage entzogen. 2. 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 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angefochtenen Entscheides</w:t>
      </w:r>
    </w:p>
    <w:p>
      <w:r>
        <w:t>- 5 -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vorbringt, angerufene Beweismittel seien nicht abgenommen worden, hat zu sagen, wo und zu welchen Behauptun- gen er sich auf diese berufen hat (ZR 81 Nr. 88 Erw. 6; Frank/Sträuli/Messmer, Kommentar zur zürcherischen Zivilprozessordnung, 3. Aufl., Zürich 1997, N 4 zu § 288; Spühler/Vock, Rechtsmittel in Zivilsachen im Kanton Zürich und im Bund, Zürich 1999, S. 72 f.; von Rechenberg, Die Nichtigkeitsbeschwerde in Zivil– und Strafsachen nach zürcherischem Recht, 2. Aufl., Zürich 1986, S. 16 ff.).</w:t>
      </w:r>
    </w:p>
    <w:p>
      <w:r>
        <w:rPr>
          <w:b/>
        </w:rPr>
        <w:t>E. 3.1</w:t>
      </w:r>
    </w:p>
    <w:p>
      <w:r>
        <w:t>a) Die Beschwerdeführerin rügt - zusammengefasst -, die Vorinstanz ha- be neben der (angeblichen) Vertragsverletzung den adäquaten Kausalzusam- menhang bejaht und die Unterbrechung desselben verneint, ohne dabei allerdings die diesbezüglich offerierten Beweise - insbesondere die Befragung der Zeugen A. und B. - abgenommen zu haben. Die Beschwerdeführerin habe zu folgenden Behauptungen Beweise offeriert: - dass der Beschwerdegegner die Risiken seiner Aktienanlagepolitik und des Leverage durch Kreditaufnahme sehr genau gekannt habe, und zwar aus seiner eigenen, langjährigen Erfahrung als aggressiver Aktienanleger; - dass der Beschwerdegegner auf die Risiken seiner riskanten Anlagepolitik ausdrücklich aufmerksam gemacht und ihm auch verschiedene - weniger riskante - Anlagealternativen aufgezeigt worden seien; - dass der Beschwerdegegner gegenüber der Beschwerdeführerin mehrfach und ausdrücklich klargestellt habe, dass er (a) seine Anlagepolitik nicht än- dern wolle und er (b) dementsprechend zu einer Änderung der Anlagepolitik auch durch entsprechende, ausdrückliche Warnungen nicht zu bewegen gewesen sei. Die Vorinstanz habe die Abnahme der angebotenen Beweise mit einer Be- gründung abgelehnt, welche einer antizipierten Beweiswürdigung gleichkomme,</w:t>
      </w:r>
    </w:p>
    <w:p>
      <w:r>
        <w:t>- 6 - mithin habe sie die offerierten Beweise implizit als nicht aussagekräftig bzw. nicht entscheidrelevant erachtet. b) Vorliegend stelle sich die Frage, führt die Beschwerdeführerin weiter aus, ob sie den Beschwerdegegner auf die Risiken seiner spekulativen Aktienstrategie hingewiesen habe und ob die vom Handelsgericht antizipiert vorgenommene Be- weiswürdigung, wonach es sich heute nicht mehr ermitteln lasse, ob der Be- schwerdegegner seine Anlagepolitik bei einer entsprechenden Warnung seitens der Beschwerdeführerin geändert hätte, der Willkürprüfung Stand halte. Dies ist nach Ansicht der Beschwerdeführerin zu verneinen, was wie folgt begründet wer- de: - die Beschwerdeführerin habe ausgeführt, und diesbezüglich Zeugen (A. und B.) und weitere Beweismittel offeriert, dass (a) der Beschwerdegegner auf die Risiken seiner Anlagepolitik mehrfach hingewiesen worden sei, (b) er sich auf entsprechende Hinweise aber stets geweigert habe, seine Anlage- politik zu ändern und (c) damit die Verluste bewusst in Kauf genommen ha- be. Wenn die Zeugen diese Behauptungen der Beschwerdeführerin be- stätigt hätten, wäre der direkte Beweis zu Gunsten der Beschwerdeführerin erbracht worden und es hätte sich eine antizipierte Beweiswürdigung erüb- rigt; - die Beschwerdeführerin gehe ohne weiteres davon aus, dass die Zeugen ih- ren vor Handelsgericht vorgetragenen Standpunkt bestätigt hätten, nachdem (a) der Beschwerdegegner während mehr als 10 Jahren die gleiche, riskante Aktienanlagepolitik verfolgt habe, auch in Zeiten nachgebender Märkte und (b) der Beschwerdegegner auch nach der Kündigung des Beratungsman- dates mit der Beschwerdeführerin und dem Abschluss eines neuen Verwal- tungsmandates mit einer Drittpartei an seiner riskanten Anlagepolitik unbeirrt festgehalten habe. Das Handelsgericht, das sich mit der antizipierten Be- weiswürdigung über die vorstehenden Ausführungen hinweggesetzt habe, sei hier hinsichtlich des Sachverhaltes zum Kausalzusammenhang in Willkür verfallen;</w:t>
      </w:r>
    </w:p>
    <w:p>
      <w:r>
        <w:t>- 7 - - besonders stossend erscheine, dass sich das Handelsgericht zu den zum Kausalzusammenhang offerierten Zeugen nicht explizit geäussert habe. Im- plizit scheine die Vorinstanz die Auffassung zu vertreten, dass die beiden Zeugen die Behauptungen der Beschwerdeführerin nicht bestätigt hätten, was unhaltbar und willkürlich sei, insbesondere nachdem es sich beim Zeu- gen Müller um den jahrelang für den Beschwerdegegner zuständigen Ver- mögensberater handle und dieser in der Folge - nachdem der Beschwerde- gegner das Beratungsmandat mit der Beschwerdeführerin gekündigt habe - als externer Vermögensverwalter für den Beschwerdegegner tätig gewesen sei. Der Zeuge A. hätte damit aus erster Hand über den Charakter des Zeu- gen (recte: Beschwerdegegners) vor, während und nach der fraglichen Zeit aussagen können. - nach dem gewöhnlichen Lauf der Dinge und der allgemeinen Lebenserfah- rung, so die Beschwerdeführerin, sei es schlicht undenkbar (und damit die gegenteilige Annahme des Handelsgerichts schlicht willkürlich), dass ein Spekulant vom Format des Beschwerdegegners sich von entsprechenden Warnungen der Beschwerdeführerin hätte beeinflussen lassen. Im Übrigen habe sich der Beschwerdegegner weder damals noch heute tatsächlich pensionieren lassen, was vom Handelsgericht als Voraussetzung für die verlangte Warnung betrachtet worden sei. Es gebe keinerlei Belege und/oder Indizien dafür, dass sich der Beschwerdegegner hinsichtlich seiner Anlagepolitik in irgend einer Weise hätte beeinflussen lassen. c) Wenn sich der Beschwerdegegner, so die Beschwerdeführerin zusam- menfassend, was sie hätte beweisen wollen und auch können, von seiner riskan- ten Anlagepolitik nicht hätte abbringen lassen, auch nicht auf entsprechende Warnungen der Beschwerdeführerin hin, welche ausdrücklich und mehrfach er- folgt seien, sei die vom Handelsgericht der Beschwerdeführerin (zu Unrecht) vor- geworfene Vertragsverletzung (unterlassene Warnung) für einen allfälligen Scha- den nicht kausal. Dementsprechend hätte das Handelsgericht die Klage abweisen müssen. Da im angefochtenen Urteil eine (oder mehrere) willkürliche tatsächliche Annahmen getroffen worden seien, sei der Entscheid aufzuheben und die Klage</w:t>
      </w:r>
    </w:p>
    <w:p>
      <w:r>
        <w:t>- 8 - abzuweisen; eventualiter sei die Sache - zur Durchführung eines Beweisverfah- rens - zurückzuweisen (KG act. 1 S. 8-13).</w:t>
      </w:r>
    </w:p>
    <w:p>
      <w:r>
        <w:rPr>
          <w:b/>
        </w:rPr>
        <w:t>E. 3.2</w:t>
      </w:r>
    </w:p>
    <w:p>
      <w:r>
        <w:t>a) Die Vorinstanz äusserte sich zunächst zur Frage, ob die Beschwer- deführerin zur Aufklärung des Beschwerdegegners verpflichtet gewesen sei. Nach der Abhandlung der diversen Argumente der Beschwerdeführerin kam das Han- delsgericht zum Schluss, die fachkompetente Beschwerdeführerin wäre ver- pflichtet gewesen, den Beschwerdegegner situationsbedingt über Inhalt und Be- deutung einer kreditfinanzierten Aktienstrategie im beruflichen Ruhestand umfas- send aufzuklären und ihn auf die allfällige Unangemessenheit und die Verlustrisi- ken im Falle einer Beibehaltung dieser Strategie hinzuweisen (KG act. 2 S. 8 ff., insb. S. 16). Selbst wenn der Beschwerdegegner, wie von der Beschwerdeführe- rin behauptet, auf ihre Empfehlung konservativerer Anlagemöglichkeiten hin ge- sagt haben sollte, er könne Renditen, wie sie von konservativen Anlageinstru- menten abgeworfen würden, an der Börse an einem Tag erzielen, hätte er seinen Aufklärungsanspruch damit keineswegs verwirkt. Eine Abmahnung des Be- schwerdegegners mit Bezug auf die Risiken einer Beibehaltung seiner hochspe- kulativen Anlagestrategie in der Zeit seines beruflichen Ruhestands sei unum- gänglich gewesen (KG act. 2 S. 17). b) In einem zweiten Schritt prüfte die Vorinstanz, ob eine rechtsgenügende Abmahnung durch die Beschwerdeführerin ausgesprochen worden sei. Im Rah- men dieser Beurteilung - so die Vorinstanz (KG act. 2 S. 17) - seien die beiden im Auftrag des Beschwerdegegners erstellten "Life Cycle Plan"-Studien von wesent- licher Bedeutung. Da jedoch zwischen den Parteien strittig sei, wie die beiden Studien inhaltlich zu verstehen seien, sei über den Inhalt eine richterliche Ausle- gung vorzunehmen. Die vorinstanzliche Auslegung führte zum Schluss, dass sich aus den beiden "Life Cycle Plan"-Studien keine rechtsgenügende Abmahnung mit Bezug auf die erheblichen Risiken einer teilweise kreditfinanzierten Anlagestrate- gie für die Zeit nach dem Ausstieg des Beschwerdegegners aus dem Erwerbsle- ben ableiten lasse (KG act. 2 S. 21). Seitens der Beschwerdeführerin wäre zu er- warten gewesen, dass sie den Beschwerdegegner entweder klar und unmissver- ständlich über die Risiken einer Fortführung seiner spekulativen Anlagestrategie</w:t>
      </w:r>
    </w:p>
    <w:p>
      <w:r>
        <w:t>- 9 - nach der Aufgabe seiner Erwerbstätigkeit aufgeklärt und dies im Fall von angebli- cher Uneinsichtigkeit seitens des Beschwerdegegners im Rahmen des "Life Cycle Plannings" auch entsprechend dokumentiert hätte. Oder sie hätte die begonnene Finanzplanung unter Bekanntgabe ihrer Bedenken sowie unter Hinweis auf den bloss provisorischen Charakter ihrer bis dahin aufgelaufenen Beurteilung abbre- chen können, um eine mögliche Identifikation des Kunden mit den darin enthalte- nen Aussagen zu vermeiden. c) Schliesslich verweist die Vorinstanz auf den Standpunkt der Beschwer- deführerin, wonach sie den Beschwerdegegner anlässlich der Instruktionsgesprä- che im Vorfeld der Erarbeitung der "Life Cycle Plan"-Studien mündlich gewarnt, ihm namentlich im August 2000 empfohlen habe, in eine festverzinsliche Einmal- einlage in eine Lebensversicherung zu investieren, was dieser jedoch wiederum der geringen Renditeaussichten wegen abgelehnt habe. Entgegen der Auffassung der Beschwerdeführerin stelle der blosse Vorschlag zur Tätigung einer Einmal- einlage bei einer Lebensversicherung keine hinreichende Abmahnung hinsichtlich des Risikos einer kreditfinanzierten Aktienstrategie für die Zeit nach der Pensio- nierung dar, zumal der Ratschlag nicht konkret ausformuliert worden sei und dementsprechend auch nach Darstellung der Beschwerdeführerin nie Eingang in die schriftliche "Life Cycle Plan"-Dokumentation gefunden habe. Im Übrigen lasse sich allein aus der Ablehnung eines einzelnen Anlageinstruments keine verbindli- che Weisung des Beschwerdegegners ableiten, wonach dieser etwa von vornher- ein jegliche Investition in alternative, konservativere Vermögenswerte ablehnte. Was sodann die sonstigen aufgeführten Ermahnungen an die Adresse des Be- schwerdegegners wie Abbau der Klumpenrisiken, Notwendigkeit einer Anlagedi- versifikation sowie Reduktion der festen Kreditvorschüsse anbelange, so hätten diese der Beschwerdeführerin zufolge teilweise schon im Jahr 1995 stattgefun- den. Ein erkennbarer Bezug zum "Life Cycle Planning", insbesondere zur ange- kündigten Frühpensionierung des Beschwerdegegners, sei zum damaligen Zeit- punkt jedoch schon aus zeitlichen Gründen nicht auszumachen und sei im Übri- gen von der Beschwerdeführerin auch nicht aufgezeigt worden. Entsprechend seien diese Massnahmen in den beiden Studien mit keinem Wort erwähnt. Auch</w:t>
      </w:r>
    </w:p>
    <w:p>
      <w:r>
        <w:t>- 10 - unter diesem Gesichtspunkt lasse sich somit keine genügende Risikoaufklärung seitens der Beschwerdeführerin begründen (KG act. 2 S. 22 f.). d) Nach der Feststellung, dass von einer schuldhaften Unterlassung der Be- schwerdeführerin auszugehen sei (KG act. 2 S. 24), erwog das Handelsgericht, der Kausalzusammenhang bestimme sich in Fällen wie vorliegend, in denen die Vertragsverletzung in einer Unterlassung bestehe, danach, ob der Schaden auch bei Vornahme der unterlassenen Handlung eingetreten wäre. Es gehe um einen hypothetischen Kausalverlauf, für den nach den Erfahrungen des Lebens und dem gewöhnlichen Lauf der Dinge eine überwiegende Wahrscheinlichkeit spre- chen müsse. Im zu beurteilenden Fall sei davon auszugehen, dass der Be- schwerdegegner seine kreditfinanzierte Aktienstrategie nicht, zumindest nicht im bisherigen Umfang beibehalten hätte, wenn er anlässlich der Erstellung des "Life Cycle Plannings" über die Risiken aufgeklärt worden wäre, die einer solchen Strategie mit Bezug auf die Sicherung von Pension und Lebenshaltung immanent seien. Dabei sei klar, dass Mutmassungen darüber, wie der Beschwerdegegner sich verhalten hätte, wenn man ihn über die Risiken seiner Anlagestrategie für die Zeit des beruflichen Ruhestandes informierte hätte, (rein theoretisch) immer denkbar seien. Dies dürfe jedoch nicht darüber hinwegtäuschen, dass sich heute schlichtweg nicht mehr ermitteln lasse, wie der Beschwerdegegner seine zukünf- tige Anlagestrategie im Falle einer gebotenen Risikowarnung seitens der Be- schwerdeführerin gestaltet hätte. Weiter führte die Vorinstanz aus, aus welchen (rechtlichen) Gründen die Beschwerdeführerin das Risiko der Unaufklärbarkeit des hypothetischen Kausalzusammenhangs zu tragen habe. Schlussfolgernd sei davon auszugehen, dass die unterbliebene Abmahnung durch die Beschwerde- führerin nach dem gewöhnlichen Lauf der Dinge und der allgemeinen Lebenser- fahrung als Ursache für den geltend gemachten Schaden des Beschwerdegeg- ners angesehen werden müsse. Dies führe zum Schluss, dass ein adäquater Kausalzusammenhang dem Grundsatze nach zu bejahen sei (KG act. 2 S. 26 f.).</w:t>
      </w:r>
    </w:p>
    <w:p>
      <w:r>
        <w:rPr>
          <w:b/>
        </w:rPr>
        <w:t>E. 3.3</w:t>
      </w:r>
    </w:p>
    <w:p>
      <w:r>
        <w:t>a) Willkür in der Beweiswürdigung (§ 281 Ziff. 2 ZPO) liegt nur vor, wenn der vom Sachrichter gezogene Schluss für einen unbefangen Denkenden als un- haltbar erscheint. Eine vertretbare Beweiswürdigung ist daher noch nicht willkür-</w:t>
      </w:r>
    </w:p>
    <w:p>
      <w:r>
        <w:t>- 11 - lich, auch wenn die Kassationsinstanz an der Stelle des Sachrichters allenfalls anders entschieden hätte (vgl. von Rechenberg, a.a.O., S. 28). Zur Begründung der Rüge gehört - wie bereits erwähnt -, dass in der Beschwerde gesagt wird, welcher tatsächliche Schluss aufgrund welcher Aktenstelle als willkürlich erscheint (ZR 81 Nr. 88 Erw. 6; Frank/Sträuli/Messmer, a.a.O., N 4 zu § 288). b) Im Lichte der subsidiären Natur der kantonalen Nichtigkeitsbeschwerde (§ 285 ZPO) stellt sich sodann in verschiedenem Zusammenhang die Frage, auf welche Rügen im kantonalen Beschwerdeverfahren überhaupt eingetreten wer- den kann. Die Abgrenzungsfrage zwischen kantonalem Recht und Bundesgericht stellt sich zunächst im Hinblick auf die Thematik "fehlendes Beweisverfahren". Aus dem Anspruch auf rechtliches Gehör (Art. 29 Abs. 2 BV) und Art. 8 ZGB ergibt sich der Anspruch der Parteien, Beweise zu beantragen zu Tatsachen, die für den Ausgang des Verfahrens von Bedeutung sein können (BGE 108 Ia 294). Art. 8 ZGB gibt nach der bundesgerichtlichen Rechtsprechung der beweispflichtigen Partei in allen Zivilstreitigkeiten einen bundesrechtlichen Anspruch darauf, für rechtserhebliche Sachvorbringen Beweis zu führen, wenn ihr Beweisantrag nach Form und Inhalt den Vorschriften des kantonalen Rechts entspricht. Diese allge- meine Beweisvorschrift des Bundesrechts ist insbesondere dann verletzt, wenn der kantonale Richter Behauptungen einer Partei unbekümmert darum, dass sie von der Gegenpartei bestritten worden sind, als richtig hinnimmt oder über rechtserhebliche Tatsachen überhaupt nicht Beweis führen lässt. Art. 8 ZGB ist gemäss der bundesgerichtlichen Rechtsprechung überdies verletzt, wenn der Richter taugliche und formgültig beantragte Beweise zu rechtserheblichen Tatsa- chen nicht abnimmt, obwohl er die Sachvorbringen dazu weder als erstellt noch als widerlegt erachtet. Entsprechende Rügen sind vor Bundesgericht vorzubrin- gen, im kantonalen Beschwerdeverfahren kann darauf nicht eingetreten werden. Wo der kantonale Richter hingegen in Würdigung von Beweisen zur Überzeugung gelangt, eine Tatsachenbehauptung sei bewiesen oder widerlegt, ist die Be- weislastverteilung gegenstandslos. Diesfalls liegt freie Beweiswürdigung vor, die bundesrechtlich nicht geregelt ist, auch nicht durch Art. 8 ZGB. Diese Bestim-</w:t>
      </w:r>
    </w:p>
    <w:p>
      <w:r>
        <w:t>- 12 - mung schreibt dem Richter nicht vor, mit welchen Mitteln der Sachverhalt abzu- klären und wie das Ergebnis zu würdigen ist; sie schliesst selbst vorweggenom- mene Beweiswürdigung und Indizienbeweis nicht aus. Eine beschränkte Beweis- abnahme verletzt Art. 8 ZGB daher nicht, wenn der Richter schon nach deren Er- gebnis von der Sachdarstellung einer Partei überzeugt ist, gegenteilige Behaup- tungen also für unbewiesen hält. Eine andere Frage ist, ob eine solche Beschrän- kung allenfalls gegen Art. 29 BV (oder gegen Beweisvorschriften des kantonalen Prozessrechts) verstösst. Solche Verstösse waren vor Inkrafttreten des BGG (und damit auch im vorliegenden Fall, in welchem das angefochtenen Urteil vor dem 1.1.2007 erging) vor Bundesgericht mit staatsrechtlicher Beschwerde zu rügen; entsprechende Rügen sind deshalb im kantonalen Beschwerdeverfahren zulässig (vgl. zum Ganzen ZR 95 Nr. 73). Ebenfalls gemäss Rechtsprechung des Bundesgerichts stellt sodann die Frage, ob ein natürlicher Kausalzusammenhang zwischen dem geltend gemach- ten Schaden und dem haftungsbegründenden Verhalten gegeben sei, ein Tatfra- ge dar, welche (vor dem Inkrafttreten des Bundesgesetzes über das Bundesge- richt [Bundesgerichtsgesetz; BGG]) auch in berufungsfähigen Streitsachen der Überprüfung im Verfahren der staatsrechtlichen Beschwerde unterliege. Ebenso liege eine im staatsrechtlichen Verfahren zu prüfende Tatfrage vor, wenn zu ent- scheiden sei, ob der Schaden nach dem hypothetischen Geschehensablauf auch bei Vornahme der pflichtwidrig unterlassenen Handlung eingetreten wäre, sofern die entsprechende Schlussfolgerung auf dem Weg der Beweiswürdigung aus konkreten Anhaltspunkten getroffen worden sei und nicht ausschliesslich auf all- gemeiner Lebenserfahrung beruhe (Bundesgerichtsurteil 4P.29/2003 vom 25. Juni 2003 Erw. 2.2.2 m.w.H., publiziert in Pra 2004 Nr. 45). c) Vorliegend handelt es sich beim angefochtenen Urteil um ein solches des Handelsgerichtes, welches erstinstanzlich über den behaupteten Anspruch ent- schieden hat. Demnach gelten für das Beweisverfahren die §§ 133 ff. ZPO, so insbesondere auch § 136 ZPO, wonach das Beweisverfahren durch einen Be- weisauflagebeschluss zu eröffnen ist. Das Gericht hat die offerierten Beweise für rechtserhebliche und substanziierte Behauptungen abzunehmen, soweit erhebli-</w:t>
      </w:r>
    </w:p>
    <w:p>
      <w:r>
        <w:t>- 13 - che, taugliche und zulässige Beweismittel formgültig beantragt worden sind. Das Recht auf die Abnahme solcher Beweismittel entfällt, wenn die fragliche Tatsa- chenbehauptung bereits rechtsgenüglich bewiesen oder widerlegt ist oder wenn antizipierte Beweiswürdigung zulässig ist (Vogel/Spühler, Grundriss des Zivilpro- zessrechts, 8. Aufl., Bern 2006, S. 269 f.). Die Vorinstanz entschied ohne Durch- führung eines Beweisverfahrens.</w:t>
      </w:r>
    </w:p>
    <w:p>
      <w:r>
        <w:rPr>
          <w:b/>
        </w:rPr>
        <w:t>E. 3.4</w:t>
      </w:r>
    </w:p>
    <w:p>
      <w:r>
        <w:t>a) Soweit die Beschwerdeführerin - zumindest am Rande - vorträgt und damit möglicherweise rügen will, sie habe Beweismittel dafür offeriert, dass der Beschwerdegegner auf die Risiken seiner Anlagepolitik mehrfach hingewiesen worden sei, mithin bestehe die Annahme der unterbliebenen rechtsgenügenden Aufklärung zu Unrecht (KG act. 1 S. 10), fehlt der Beschwerde eine Auseinander- setzung mit den massgeblichen Erwägungen des Handelsgerichts. Wie vorste- hend (vgl. Ziff. II.3.2 b und c) dargelegt, hat sich die Vorinstanz ausführlich mit der Frage, ob die Beschwerdeführerin ihrer Aufklärungspflicht nachgekommen sei, befasst. Angesichts dieser Erwägungen kann denn auch keine Rede sein davon, dass die Vorinstanz - wie von der Beschwerdeführerin behauptet (KG act. 1 S. 11) - davon ausgegangen wäre, die Zeugen hätten die Behauptungen nicht bestätigt. Der Beschwerdeschrift lässt sich nicht entnehmen, inwiefern die konkreten Über- legungen des angefochtenen Entscheides mit einem - im kantonalen Beschwer- deverfahren zu prüfenden - Nichtigkeitsgrund behaftet wären. Lediglich die Be- hauptung, es wäre ein Beweisverfahren durchzuführen gewesen, genügt den Anforderungen an die Begründung eines Nichtigkeitsgrundes nicht. b) Die Beschwerdeführerin wendet zudem ein, sie habe auch Zeugen und weitere Beweismittel für ihre Darstellung, dass sich der Beschwerdegegner auf entsprechende Hinweise stets geweigert habe, seine Anlagepolitik zu ändern, of- feriert. Da davon auszugehen ist, eine rechtsgenügende, mithin den konkreten Erfordernissen entsprechende, Abmahnung sei nicht erfolgt, ist dem Einwand der Beschwerdeführerin der Boden entzogen. Im Übrigen führte die Vorinstanz aus, selbst wenn der Beschwerdegegner gesagt haben sollte, er könne Renditen, wie sie von konservativen Anlageinstrumenten abgeworfen würden, an der Börse an einem Tag erzielen, hätte er seinen Aufklärungsanspruch keineswegs verwirkt,</w:t>
      </w:r>
    </w:p>
    <w:p>
      <w:r>
        <w:t>- 14 - weshalb offen bleiben könne, ob die behaupteten - aber bestrittenen - Aussagen gefallen seien (KG act. 2 S. 17). Ob diese vorinstanzliche Auffassung in Bezug auf den Aufklärungsanspruch des Beschwerdegegners zutreffend ist, stellt eine Rechtsfrage dar, welche sich nach Bundesrecht beurteilte. c) Schliesslich bemängelt die Beschwerdeführerin, die Vorinstanz habe eine antizipierte Beweiswürdigung vorgenommen, indem sie erwäge, heute lasse sich nicht mehr ermitteln, ob der Beschwerdegegner seine Anlagepolitik bei einer ent- sprechenden Warnung seitens der Beschwerdeführerin geändert hätte (KG act. 1 S. 10). Aus den vorstehend wiedergegebenen Erwägungen der Vorinstanz geht hervor, dass die Schlussfolgerung des Handelsgerichts zur Frage, ob der Scha- den nach dem hypothetischen Geschehensablauf auch bei Vornahme der pflicht- widrig unterlassenen Handlung eingetreten wäre, ausschliesslich auf der allge- meinen Lebenserfahrung und dem gewöhnlichen Lauf der Dinge beruhen. Ent- sprechend wären Rügen, welche sich gegen die vorinstanzlichen Erwägungen richten, im Verfahren vor Bundesgericht zu erheben. Im kantonalen Beschwerde- verfahren bleibt dafür keine Raum.</w:t>
      </w:r>
    </w:p>
    <w:p>
      <w:r>
        <w:rPr>
          <w:b/>
        </w:rPr>
        <w:t>E. 4</w:t>
      </w:r>
    </w:p>
    <w:p>
      <w:r>
        <w:t>Unter Litera B der Beschwerdeschrift (KG act. 1 S. 13 ff.) bringt die Be- schwerdeführerin vor, es treffe nicht zu, dass sie die vom Beschwerdegegner be- hauptete Asset Allokation mit 70 % Aktien und 30 % Obligationen nicht bestritten habe. Vielmehr habe sie zur Frage der Asset Allokation (oder Anlagepolitik) im Detail Stellung genommen und die diesbezüglichen Behauptungen allesamt ein- zeln und im Detail bestritten. Zudem habe die Beschwerdeführerin zum ange- nommenen Portfolio von 70 % Aktien und 30 % Obligationen nie Stellung nehmen können, da der Beschwerdegegner selber nämlich von 30 % Aktien und 70 % Ob- ligationen ausgegangen sei. Dadurch sei der Anspruch der Beschwerdeführerin auf rechtliches Gehör verletzt worden.</w:t>
      </w:r>
    </w:p>
    <w:p>
      <w:r>
        <w:rPr>
          <w:b/>
        </w:rPr>
        <w:t>E. 4.1</w:t>
      </w:r>
    </w:p>
    <w:p>
      <w:r>
        <w:t>Auf den Berichtigungsentscheid der Vorinstanz wurde bereits hingewie- sen. Durch diesen Berichtigungsentscheid ist die Rüge der Gehörsverletzung ge- genstandslos geworden. Weiterungen hiezu erübrigen sich.</w:t>
      </w:r>
    </w:p>
    <w:p>
      <w:r>
        <w:t>- 15 -</w:t>
      </w:r>
    </w:p>
    <w:p>
      <w:r>
        <w:rPr>
          <w:b/>
        </w:rPr>
        <w:t>E. 4.2</w:t>
      </w:r>
    </w:p>
    <w:p>
      <w:r>
        <w:t>a) Die Vorinstanz erwog, das vom Beschwerdegegner angegebene Ver- gleichsportfolio gehe von der Zusammensetzung her (70 % Obligationen und 30 % Aktien) sicherlich nicht über die sachgerechten Bedürfnisse eines Anlegers hinaus, der kurz vor der geplanten Pensionierung stehe. Vielmehr mache die Be- schwerdeführerin die Willkürlichkeit des hypothetischen Vergleichsportfolios gel- tend, indem sie anführe, dieses habe mit dem langjährig praktizierten Anlagever- halten des Beschwerdegegners nichts gemein. Wie ausgeführt sei aber von der hypothetischen Annahme auszugehen, dass der Beschwerdegegner bei pflicht- gemässer Abmahnung seine bisherige risikoreiche Anlagestrategie nicht beibe- halten hätte. Der Umstand, dass es nicht zu einer Abkehr von dessen hochspe- kulativer Investitionspolitik gekommen sei, sei somit gerade der Pflichtwidrigkeit der Beschwerdeführerin anzulasten. Ihr diesbezüglicher Einwand gehe daher fehl. Zudem könne von einer Partei gefordert werden, dass sie - falls sie nicht einver- standen sei - sich zu den Vorbringen der Gegenseite im Einzelnen äussere, so- fern Letztere konkrete und bestimmte Behauptungen aufstelle. Dies müsse insbe- sondere betreffend jene Angaben gelten, welche der Beschwerdegegner als Grundlage für eine richterliche Schadensschätzung geliefert habe. Werde zu die- sen Angaben lediglich ausgeführt, das Vergleichsportfolio habe mit dem bisheri- gen Anlageverhalten des Beschwerdegegners nichts gemein, ebenso gut hätte man ein hypothetisches Portfolio mit anderer Zusammensetzung wählen können, so sei deshalb davon auszugehen, dass die vom Beschwerdegegner zur Vor- nahme der richterlichen Schadensschätzung gelieferten Tatsachenbehauptungen - konkret die dargelegte Zusammensetzung des Vergleichsportfolios - unbestritten geblieben seien. Gestützt auf die diesbezüglichen Ausführungen des Beschwer- degegners sei demzufolge von einem hypothetischen Portfolio mit Aufteilung des Anlagevermögens in 70 % Obligationen sowie 30 % Aktien auszugehen (KG act. 2 S. 35 f. i.V.m. KG act. 22 S. 3). b) Aus der Vorschrift von § 134 ZPO, wonach die Beweiserhebung (auch dann, wenn sie in Anwendung von § 142 Abs. 2 ZPO ausnahmsweise von Amtes wegen erfolgt) in der Regel nach Abschluss des Hauptverfahrens durchgeführt wird, erhellt, dass – was das kantonale Prozessrecht vorsehen kann (vgl. BGE 108 II 341 f.) – nur im Hauptverfahren behauptete, d.h. genügend substanziiert</w:t>
      </w:r>
    </w:p>
    <w:p>
      <w:r>
        <w:t>- 16 - aufgestellte Tatsachenbehauptungen Gegenstand des Beweisverfahrens sein können. Letzteres darf mithin nicht dazu dienen, eine im Rahmen der Parteivor- träge ungenügend gebliebene Sachdarstellung nachträglich zu vervollständigen, sondern dessen Durchführung setzt gegenteils genügend konkrete, zum Beweis verstellbare tatsächliche Behauptungen des Beweisführers voraus (Frank/Sträuli/ Messmer, a.a.O., N 5 zu § 113 ZPO und N 8 zu § 133 ZPO m.w.Hinw.; Lieber, Die neuere kassationsgerichtliche Rechtsprechung zum Beweisrecht im Zivilver- fahren, in Festschrift 125 Jahre Kassationsgericht des Kantons Zürich, Zürich 2000, S. 225 mit Anm. 22; s.a. Hausheer/Jaun, a.a.O. [Handkommentar], N 81 zu Art. 8-10 ZGB; dies., a.a.O. [Skriptum], Rz 7.58; Brönnimann, Die Behauptungs- last, in: Leuenberger [Hrsg.], Der Beweis im Zivilprozessrecht, Bern 2000, S. 53 und 64 f.; ders., Die Behauptungs- und Substanzierungslast im schweizerischen Zivilprozessrecht, Bern 1989, S. 14, 197 ff.). Dabei richtet sich das Ausmass der erforderlichen Substanziierung der betreffenden Behauptungen bei Rechtsver- hältnissen, die dem Bundesprivatrecht unterstehen – um ein solches dreht sich der vorliegende Rechtsstreit –, ausschliesslich nach materiellem Bundeszivilrecht (Art. 8 ZGB); dies unabhängig davon, ob es um die Subsumtion des Sachverhalts unter die betreffende Norm des materiellen Rechts oder um die Schaffung der Voraussetzungen für die beweismässige Abklärung des rechtserheblichen Sach- verhalts geht (ZR 102 Nr. 8; RB 1988 Nr. 44; s.a. BGE 127 III 368; 123 III 188; 108 II 338 ff.; 98 II 117; ZR 93 Nr. 19, Erw. 5/a; Frank/Sträuli/Messmer, a.a.O., N 1 zu § 113 ZPO, N 13d zu § 285 ZPO und N 6 zu § 54 ZPO; Schmid, a.a.O., Rz 455; Hausheer/Jaun, a.a.O. [Skriptum], Rz 7.26 und 7.58; dies., a.a.O. [Hand- kommentar], N 81 zu Art. 8-10 ZGB; Messmer/Imboden, a.a.O., Rz 87; Münch, in: Geiser/Münch [Hrsg.], Prozessieren vor Bundesgericht, 2. A., Basel/Frankfurt a.M. 1998, Rz 4.57; Brönnimann, a.a.O. [Behauptungs- und Substanzierungslast], S. 226 und 227). Ebenfalls nach Bundesrecht beurteilt sich, ob hinreichend sub- stanziiert bestritten wurde. Auf die Thematik der genügenden Substanziierung kann somit im kantonalen Beschwerdeverfahren nicht eingetreten werden. Nach der neueren bundesgerichtlichen Rechtsprechung ist schliesslich der bundesrechtliche Anspruch auf Beweisführung tangiert, wenn der kantonale Richter Behauptungen einer Partei unbekümmert darum, dass sie von der Ge-</w:t>
      </w:r>
    </w:p>
    <w:p>
      <w:r>
        <w:t>- 17 - genpartei bestritten worden sind, als richtig hinnimmt oder über rechtserhebliche Tatsachen überhaupt nicht Beweis führen lässt (Lieber, a.a.O., S. 223; Vogel, Das Recht auf den Beweis, in recht 1991, S. 43; BGE 126 III 317, 123 III 40, 114 II 290 f., 105 II 145, ZR 95 Nr. 73). Auch diesbezüglich fehlt eine Prüfungsbefugnis im kantonalen Beschwerdeverfahren. c) Die Kritik der Beschwerdeführerin richtet sich der Sache nach gegen die vom Handelsgericht geäusserte Meinung, die Behauptungen des Beschwerde- gegners seien nicht genügend substanziiert bestritten worden. Diese Rüge ist nach dem Gesagten im kantonalen Beschwerdeverfahren nicht zu prüfen.</w:t>
      </w:r>
    </w:p>
    <w:p>
      <w:r>
        <w:rPr>
          <w:b/>
        </w:rPr>
        <w:t>E. 5</w:t>
      </w:r>
    </w:p>
    <w:p>
      <w:r>
        <w:t>Die weiteren Vorbringen der Beschwerdeführerin richten sich gegen die konkrete Berechnung des Schadens (KG act. 1 S. 15 ff. Lit. C). a) Auch diesbezüglich ist den Ausführungen der Beschwerdeführerin ange- sichts der erfolgten Berichtigung der Boden entzogen, soweit diese auf der An- nahme basieren, die Vorinstanz sei beim hypothetischen Portfolio von 70 % Akti- en und 30 % Obligationen ausgegangen (KG act. 1 Ziff. 39 ff., insbesondere Ziff. 43). b) Was sodann den Einwand der Beschwerdeführerin anbelangt, die Vorin- stanz hätte nicht auf das Privatgutachten abstellen dürfen, sondern ein Beweis- verfahren durchführen müssen, genügen die Vorbringen in der Beschwerdeschrift den Anforderungen an die Begründung eines Nichtigkeitsgrundes nicht, soweit im kantonalen Beschwerdeverfahren überhaupt darauf eingetreten werden könnte. Die Vorinstanz hat ihren Standpunkt, weshalb auf die Ausführungen im Privatgut- achten abgestellt werden könne, bzw. die Bestreitungen der Beschwerdeführerin nichts rechtsgenügend seien, dargetan (KG act. 2 S. 36). Auch diesbezüglich fehlt der Beschwerde die nötige Auseinandersetzung mit den vorinstanzlichen Erwä- gungen. c) Bei dieser Sachlage erübrigen sich Weiterungen zu der konkreten Scha- densberechnung durch die Beschwerdeführerin (KG act. 1 S. 18 f.).</w:t>
      </w:r>
    </w:p>
    <w:p>
      <w:r>
        <w:t>- 18 -</w:t>
      </w:r>
    </w:p>
    <w:p>
      <w:r>
        <w:rPr>
          <w:b/>
        </w:rPr>
        <w:t>E. 6</w:t>
      </w:r>
    </w:p>
    <w:p>
      <w:r>
        <w:t>In Bezug auf die Rüge der Verletzung eines wesentlichen Verfahrens- grundsatzes (KG act. 1 S. 19 f.), kann auf die vorstehenden Ausführungen ver- wiesen werden. Aus den vorgenannten Gründen vermag die Beschwerdeführerin mit ihrer Kritik keinen Nichtigkeitsgrund nachzuweisen.</w:t>
      </w:r>
    </w:p>
    <w:p>
      <w:r>
        <w:rPr>
          <w:b/>
        </w:rPr>
        <w:t>E. 7</w:t>
      </w:r>
    </w:p>
    <w:p>
      <w:r>
        <w:t>Zusammengefasst ergibt sich, dass die Nichtigkeitsbeschwerde abzuwei- sen ist, soweit darauf eingetreten werden kann. II I. Wird ein Prozess (bzw. ein Rechtsmittel) gegenstandslos oder entfällt das rechtliche Interesse an der Klage (resp. am Rechtsmittel), hat das Gericht nach (pflichtgemässem) Ermessen über die Kostenfolge zu entscheiden (§ 65 Abs. 1 ZPO). Nachdem die (teilweise) Gegenstandslosigkeit der Beschwerde vorliegend auf den Berichtigungsentscheid der Vorinstanz zurückzuführen ist, rechtfertigt es sich, 1/4 der Kosten auf die Gerichtskasse zu nehmen. Im Übrigen wird die Be- schwerdeführerin ausgangsgemäss kosten- sowie - in reduziertem Umfang - ent- schädigungspflichtig (§ 68 Abs. 1 ZPO).</w:t>
      </w:r>
    </w:p>
    <w:p>
      <w:r>
        <w:t>- 19 -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