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ZH_KASSATIONSGERICHT AA060103 vom 21. Dezember 2006</w:t>
      </w:r>
    </w:p>
    <w:p>
      <w:r>
        <w:t>Zh Kassationsgericht, 2006-12-21, DE</w:t>
      </w:r>
    </w:p>
    <w:p>
      <w:r>
        <w:rPr>
          <w:b/>
        </w:rPr>
        <w:t xml:space="preserve">Quelle: </w:t>
      </w:r>
      <w:r>
        <w:t>https://mcp.opencaselaw.ch/entscheid/zh_kassationsgericht_AA060103</w:t>
      </w:r>
    </w:p>
    <w:p>
      <w:r>
        <w:t>FR: ZH_KASSATIONSGERICHT AA060103 du 21 décembre 2006</w:t>
      </w:r>
    </w:p>
    <w:p>
      <w:r>
        <w:t>IT: ZH_KASSATIONSGERICHT AA060103 del 21 dicembre 2006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Zusammenfassend erweist sich die Nichtigkeitsbeschwerde insgesamt als unbegründet, soweit darauf einzutreten ist. Damit entfällt die aufschiebende Wir- kung. III.</w:t>
      </w:r>
    </w:p>
    <w:p>
      <w:r>
        <w:t>- 10 - Bei diesem Ausgang des Verfahrens sind die Kosten des Nichtigkeitsverfahrens der Beschwerdeführerin aufzuerlegen. Das Gericht beschliesst: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