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AA060099 vom 31. März 2007</w:t>
      </w:r>
    </w:p>
    <w:p>
      <w:r>
        <w:t>Zh Kassationsgericht, 2007-03-31, DE</w:t>
      </w:r>
    </w:p>
    <w:p>
      <w:r>
        <w:rPr>
          <w:b/>
        </w:rPr>
        <w:t xml:space="preserve">Quelle: </w:t>
      </w:r>
      <w:r>
        <w:t>https://mcp.opencaselaw.ch/entscheid/zh_kassationsgericht_AA060099</w:t>
      </w:r>
    </w:p>
    <w:p>
      <w:r>
        <w:t>FR: ZH_KASSATIONSGERICHT AA060099 du 31 mars 2007</w:t>
      </w:r>
    </w:p>
    <w:p>
      <w:r>
        <w:t>IT: ZH_KASSATIONSGERICHT AA060099 del 31 marzo 2007</w:t>
      </w:r>
    </w:p>
    <w:p>
      <w:pPr>
        <w:pStyle w:val="Heading2"/>
      </w:pPr>
      <w:r>
        <w:t>Erwägungen</w:t>
      </w:r>
    </w:p>
    <w:p>
      <w:r>
        <w:rPr>
          <w:b/>
        </w:rPr>
        <w:t>E. 3</w:t>
      </w:r>
    </w:p>
    <w:p>
      <w:r>
        <w:t>Auflage, Bern 1999, S. 535 ff., 539). Über diese Grundsätze geht auch das kantonale Verfahrensrecht nicht hinaus (ZR 81 Nr. 88 Erw. 2).</w:t>
      </w:r>
    </w:p>
    <w:p>
      <w:r>
        <w:t>- 9 - Falls die Ausführungen des Beschwerdeführers auch als Rüge betreffend die Verletzung von § 29 Abs. 2 ZPO aufzufassen wären, erwiese sich dieser Vor- wurf ebenfalls als unbegründet: Nach der Rechtsprechung des Kassationsgerichts genügt es für die Anwendung von § 29 Abs. 2 ZPO noch nicht, dass eine Partei zum Teil aussichtslose Anträge stellt, unvernünftige Rechtsstandpunkte vertritt oder in unvernünftiger Weise prozessiert. Keinen Grund für die Anwendung dieser Bestimmung bildet auch, wenn das Vorgehen der betreffenden Partei zum Teil unzulässig ist (indem z.B. gewisse Vorbringen verspätet vorgetragen oder man- gelhaft substanziiert werden), dass eine Partei mitunter falsche Überlegungen an- stellt oder dass sie sich auf teilweise unerhebliche Argumente und Einwände stützt. Wegen des Grundsatzes "iura novit curia" gilt Gleiches auch bei blosser Rechtsunkenntnis der Partei oder wenn sich Letztere unrichtige Rechtsauffassun- gen zu eigen macht. Ein Vertreter ist vielmehr nur dann zu bestellen, wenn auf- grund einer gesamtheitlichen Betrachtung der Prozesshandlungen und Vorbrin- gen der betreffenden Partei klar zutage tritt, dass diese überhaupt nicht zu erken- nen vermag, worauf es im Verfahren ankommt bzw. was wichtig und was unwich- tig ist und was in welchem Zeitpunkt des Prozesses zu tun ist, d.h. wenn sie voll- ends ausser Stande scheint, ihren Standpunkt selbst zu vertreten (Kass.- Nr. AA040053 i.S. B., Entscheid vom 30. April 2004, Erw. 9.1/b). Die vom Be- schwerdeführer zitierten Stellen mögen zwar auf eine gewisse Unbeholfenheit hinweisen; im Lichte der obgenannten Rechtsprechung war eine Bestellung eines Rechtsvertreters jedoch nicht angezeigt. II I. Die Kosten des vorliegenden Verfahrens sind ausgangsgemäss dem Be- schwerdeführer aufzuerlegen (§ 64 Abs. 2 ZPO). Dem Beschwerdegegner ist kei- ne Prozessentschädigung nach § 68 Abs. 1 ZPO zuzusprechen, hat er sich zur vorliegenden Beschwerde doch gar nicht geäussert.</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