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AA060088 vom 30. Juni 2006</w:t>
      </w:r>
    </w:p>
    <w:p>
      <w:r>
        <w:t>Zh Kassationsgericht, 2006-06-30, DE</w:t>
      </w:r>
    </w:p>
    <w:p>
      <w:r>
        <w:rPr>
          <w:b/>
        </w:rPr>
        <w:t xml:space="preserve">Quelle: </w:t>
      </w:r>
      <w:r>
        <w:t>https://mcp.opencaselaw.ch/entscheid/zh_kassationsgericht_AA060088</w:t>
      </w:r>
    </w:p>
    <w:p>
      <w:r>
        <w:t>FR: ZH_KASSATIONSGERICHT AA060088 du 30 juin 2006</w:t>
      </w:r>
    </w:p>
    <w:p>
      <w:r>
        <w:t>IT: ZH_KASSATIONSGERICHT AA060088 del 30 giugno 2006</w:t>
      </w:r>
    </w:p>
    <w:p>
      <w:pPr>
        <w:pStyle w:val="Heading2"/>
      </w:pPr>
      <w:r>
        <w:t>Erwägungen</w:t>
      </w:r>
    </w:p>
    <w:p>
      <w:r>
        <w:rPr>
          <w:b/>
        </w:rPr>
        <w:t>E. 1</w:t>
      </w:r>
    </w:p>
    <w:p>
      <w:r>
        <w:t>Stadt A.,</w:t>
      </w:r>
    </w:p>
    <w:p>
      <w:r>
        <w:rPr>
          <w:b/>
        </w:rPr>
        <w:t>E. 2</w:t>
      </w:r>
    </w:p>
    <w:p>
      <w:r>
        <w:t>Vormundschaftsbehörde A.,</w:t>
      </w:r>
    </w:p>
    <w:p>
      <w:r>
        <w:rPr>
          <w:b/>
        </w:rPr>
        <w:t>E. 3</w:t>
      </w:r>
    </w:p>
    <w:p>
      <w:r>
        <w:t>B.,</w:t>
      </w:r>
    </w:p>
    <w:p>
      <w:r>
        <w:rPr>
          <w:b/>
        </w:rPr>
        <w:t>E. 4</w:t>
      </w:r>
    </w:p>
    <w:p>
      <w:r>
        <w:t>Ergänzend bleibt anzumerken, dass eine (insbesondere ohne die erfor- derliche Zustimmung des gesetzlichen Vertreters eingereichte und daher unzu- lässige) Nichtigkeitsbeschwerde nicht der richtige Ort ist, um (im Übrigen nicht näher substanziierte) Strafanzeigen gegen bestimmte Personen zu deponieren, wie der Beschwerdeführer es sinngemäss zu tun scheint (vgl. insbes. KG act. 12; s.a. § 20 Abs. 1 StPO). Da aufgrund der Akten zudem auch nicht ersichtlich ist, inwiefern die vom Beschwerdeführer beschuldigten Personen strafbare Handlun- gen begangen haben könnten, besteht auch keine Veranlassung, die Akten in Anwendung von § 20 Abs. 2 oder § 21 StPO an die Strafbehörden zu überweisen bzw. von Amtes wegen Strafanzeigen zu erstatten (s.a. Schmid, in: Donatsch/ Schmid, Kommentar zur Strafprozessordnung des Kantons Zürich, Zürich 1996 ff., N 15 zu § 20 StPO und N 20 zu § 21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