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AA050191 vom 4. Dezember 2006</w:t>
      </w:r>
    </w:p>
    <w:p>
      <w:r>
        <w:t>Zh Kassationsgericht, 2006-12-04, DE</w:t>
      </w:r>
    </w:p>
    <w:p>
      <w:r>
        <w:rPr>
          <w:b/>
        </w:rPr>
        <w:t xml:space="preserve">Quelle: </w:t>
      </w:r>
      <w:r>
        <w:t>https://mcp.opencaselaw.ch/entscheid/zh_kassationsgericht_AA050191</w:t>
      </w:r>
    </w:p>
    <w:p>
      <w:r>
        <w:t>FR: ZH_KASSATIONSGERICHT AA050191 du 4 décembre 2006</w:t>
      </w:r>
    </w:p>
    <w:p>
      <w:r>
        <w:t>IT: ZH_KASSATIONSGERICHT AA050191 del 4 dicembre 2006</w:t>
      </w:r>
    </w:p>
    <w:p>
      <w:pPr>
        <w:pStyle w:val="Heading2"/>
      </w:pPr>
      <w:r>
        <w:t>Erwägungen</w:t>
      </w:r>
    </w:p>
    <w:p>
      <w:r>
        <w:rPr>
          <w:b/>
        </w:rPr>
        <w:t>E. 1</w:t>
      </w:r>
    </w:p>
    <w:p>
      <w:r>
        <w:t>Oktober 2004 verlangte; zudem stellte er das prozessuale Gesuch um Bewilli- gung der unentgeltlichen Prozessführung und um Bestellung seines Rechtsver- treters zu seinem unentgeltlichen Rechtsbeistand (HG act. 1, insbes. S. 2). In ih- rer Klageantwortschrift vom 8. Juni 2005 verlangte die Beschwerdegegnerin, dem Beschwerdeführer gestützt auf § 73 Ziff. 3 ZPO eine Prozesskaution aufzuerle- gen, da im Jahre 2003 ein Verlustschein im Betrage von Fr. 20'178.75 auf dessen Namen ausgestellt worden sei (HG act. 11 S. 1 [Antrag 4] und 12; s.a. HG act. 12/20). Nachdem dem Beschwerdeführer daraufhin mit Verfügung vom 9. Juni 2005 Frist angesetzt worden war, um zum gegnerischen Kautionierungsbegehren Stellung zu nehmen (HG Prot. S. 4) und dieser mit Eingabe vom 28. Juni 2005 verlangt hatte, dass vor einer allfälligen Kautionierung über sein prozessuales Armenrechtsgesuch entschieden werde (HG act. 14 S. 2), beschloss die Vorin- stanz am 31. August 2005, den Antrag des Beschwerdeführers auf Bewilligung der unentgeltlichen Prozessführung und auf Bestellung eines unentgeltlichen Rechtsbeistands wegen Aussichtslosigkeit der Klage abzuweisen; zugleich wurde dem Beschwerdeführer eine nicht erstreckbare Frist angesetzt, um seine noch ausstehende Stellungnahme zum Kautionierungsgesuch der Beschwerdegegne- rin einzureichen (HG act. 16). Diese Frist liess der Beschwerdeführer ungenutzt verstreichen, worauf androhungsgemäss Verzicht auf Stellungnahme angenom- men und ihm mit Verfügung vom 30. September 2005 gestützt auf § 73 Ziff. 3 ZPO eine einmal erstreckbare Frist zur Leistung einer Prozesskaution von Fr. 37'900.-- angesetzt wurde; dies unter der ausdrücklichen Androhung, dass im Säumnisfall auf die Klage nicht eingetreten würde (HG Prot. S. 6 f.). Am 25. Okto-</w:t>
      </w:r>
    </w:p>
    <w:p>
      <w:r>
        <w:t>- 3 - ber 2005 liess der Beschwerdeführer alsdann mitteilen, dass er finanziell nicht in der Lage sei, die ihm auferlegte Kaution zu leisten (HG act. 19). Mit Beschluss vom 3. November 2005 trat die Vorinstanz in Anwendung von § 80 Abs. 1 ZPO auf die Klage nicht ein, wobei sie dem Beschwerdeführer die Kosten des Verfah- rens auferlegte und diesen verpflichtete, der Beschwerdegegnerin eine Prozes- sentschädigung von Fr. 14'400.-- zu bezahlen (HG act. 20 = KG act. 2).</w:t>
      </w:r>
    </w:p>
    <w:p>
      <w:r>
        <w:rPr>
          <w:b/>
        </w:rPr>
        <w:t>E. 2</w:t>
      </w:r>
    </w:p>
    <w:p>
      <w:r>
        <w:t>Wie gesagt, handelt es sich beim Rechtsvertreter der Beschwerdegegne- rin um deren einzelzeichnungsberechtigtes Verwaltungsratsmitglied. Als solches (bzw. als Gründungsmitglied und früherer Verwaltungsratspräsident der Be- schwerdegegnerin; vgl. HG act. 4/3, 4/4 und 8) war er an den tatsächlichen Vor- gängen, welche die Grundlage der vom Beschwerdeführer erhobenen Forde- rungsklage bildeten, direkt beteiligt (vgl. neben den diesbezüglichen Ausführun- gen in HG act. 1 und 11 insbes. auch HG act. 4/4-4/9 bzw. die entsprechenden Beilagen zur Klageantwort [HG act. 12]). Somit hatte er bereits kraft seiner Stel- lung innerhalb der Beschwerdegegnerin detaillierte Kenntnis vom streitgegen- ständlichen Sachverhalt bzw. vom Prozessstoff, was zu einer erheblichen Reduk- tion insbesondere des für die Prozessführung erforderlichen Instruktionsaufwands führte. Angesichts seiner (Einzel-)Zeichnungsberechtigung dürfte überdies auch ein allfälliger Aufwand für den Verkehr mit der Beschwerdegegnerin und die Be- stimmung der für sie vorzunehmenden prozessualen Handlungen eher beschei- den ausgefallen sein. Dementsprechend ist für die Bemessung der Prozessent- schädigung in Anwendung der neueren Praxis zwar von der in § 2 Abs. 1 AnwGebV statuierten Grundgebühr auszugehen, diese jedoch um einen Drittel zu reduzieren. Bei einem Streitwert von Fr. 245'000.-- ergibt sich so ein Betrag von rund Fr. 9'565.-- (vgl. § 2 Abs. 1 AnwGebV).</w:t>
      </w:r>
    </w:p>
    <w:p>
      <w:r>
        <w:t>- 12 - Daneben ist zu beachten, dass das Verfahren vor Vorinstanz (mangels Leis- tung der eingeforderten Prozesskaution) durch Nichteintreten auf die Klage erle- digt wurde (vgl. KG act. 2). In derartigen Fällen ist nach der kassationsgerichtli- chen Rechtsprechung zwar ebenfalls von der (vollen) tarifmässigen Anwaltsge- bühr (nach § 2 AnwGebV) auszugehen, diese jedoch in Anwendung von § 14 Abs. 2 AnwGebV den Verhältnissen des Einzelfalles anzupassen und hierbei be- sonders auf die notwendigen Bemühungen des Anwalts abzustellen, was unter Umständen zu einer massiven Reduktion der nach § 2 AnwGebV berechneten Gebühr führen kann (ZR 95 Nr. 5; Kass.-Nr. 97/019 vom 23.4.1999 i.S. H.c.T., Erw. II/4.4/b; Frank/Sträuli/Messmer, a.a.O., N 6 zu § 69 ZPO; Ammann, a.a.O., S. 109; anders ZR 82 Nr. 90, wonach bei Nichteintreten, zumindest wenn noch keine Klageantwort zu erstatten war, lediglich ein Zuschlag im Sinne von § 3 aAnwGebV [heute § 4 AnwGebV] zuzusprechen sei; vgl. aber auch ZR 64 Nr. 1, Erw. 4 [volle Anwaltsgebühr, wenn berechtigter Anlass zur Einreichung einer Kla- geantwort bestand]). Mit Blick auf diese Praxis ist vorliegend in Anschlag zu brin- gen, dass vor Vorinstanz zwar kein vollständiges (Haupt-)Verfahren (mit doppel- tem Schriftenwechsel und allfälligen weiteren Stellungnahmen) durchgeführt wer- den musste; indessen hat die Beschwerdegegnerin – auf gerichtliche Aufforde- rung hin (vgl. HG Prot. S. 3) und somit aus begründetem Anlass – bereits eine (vollständige und mit Belegen dokumentierte) Klageantwortschrift verfasst und sich demnach mit dem gesamten Prozessstoff auseinander setzen müssen (vgl. HG act. 11-12). Unter dem Gesichtspunkt der Prozesserledigung ohne Anspruch- sprüfung erscheint deshalb nur (aber doch) eine eher geringfügige zusätzliche Reduktion als gerechtfertigt. Schliesslich sind keine besonderen Gründe ersicht- lich, welche einen Zuschlag im Sinne von § 4 AnwGebV rechtfertigen würden. Berücksichtigt man all diese Umstände (Vertretung der Beschwerdegegnerin durch ihr einzelzeichnungsberechtigtes Organ, Nichteintreten auf die bereits be- antwortete Klage, keine Zuschläge), erscheint (für das Verfahren vor Vorinstanz) eine auf rund die Hälfte der Grundgebühr reduzierte Prozessentschädigung als angemessen. Ein Mehrwertsteuerzuschlag fällt dabei unabhängig von der (aus den Akten nicht schlüssig hervorgehenen) Rechtsnatur des Handelns des beklag- tischen Rechtsvertreters ausser Betracht: Sollte dieser den Prozess vor Vorin-</w:t>
      </w:r>
    </w:p>
    <w:p>
      <w:r>
        <w:t>- 13 - stanz nämlich (in seiner Eigenschaft als selbständiger Rechtsanwalt) aufgrund ei- nes ihm von der Beschwerdegegnerin erteilten anwaltlichen (und als solchem mehrwertsteuerpflichtigen) Mandats (gegen ein Honorar) geführt haben, bestünde für die Beschwerdegegnerin die den Mehrwertsteuerzuschlag ausschliessende Möglichkeit des Vorsteuerabzugs (ZR 104 Nr. 76; s.a. KG act. 2 S. 3, Erw. II). Soweit hingegen rein organschaftliches Handeln desselben (d.h. Handeln in der Eigenschaft als zeichnungsberechtigter Verwaltungsrat der Beschwerdegegnerin) vorliegen sollte, unterläge dieses von vornherein nicht der Mehrwertsteuerpflicht, womit ein entsprechender Zuschlag ebenfalls ausser Betracht fiele. IV . Da sich die Beschwerdegegnerin am vorliegenden Kassationsverfahren nicht beteiligt und insbesondere weder Anträge gestellt noch sich mit dem (fehler- haften) Entscheid der Vorinstanz identifiziert hat, kann sie nicht als vor Kassati- onsgericht unterliegende Partei (im Sinne von § 64 Abs. 2 ZPO) betrachtet wer- den. Dementsprechend können ihr auch keine Kosten auferlegt werden. Diese sind vielmehr auf die Gerichtskasse zu nehmen (§ 66 Abs. 2 ZPO; Frank/Sträuli/ Messmer, a.a.O., N 5 zu § 66 ZPO; von Rechenberg, a.a.O., S. 52; Spühler/Vock, a.a.O., S. 80 f.). Mangels Kostenauflage (sowie mangels Unterliegens) kann die Beschwer- degegnerin auch nicht verpflichtet werden, dem im Kassationsverfahren obsie- genden Beschwerdeführer bzw. dessen unentgeltlichem Rechtsvertreter (vgl. § 89 Abs. 1 ZPO) eine Prozessentschädigung zu bezahlen. Auch die Zusprechung ei- ner Prozessentschädigung aus der Gerichtskasse fällt ausser Betracht, fehlt es hiefür doch an einer gesetzlichen Grundlage (Frank/Sträuli/Messmer, a.a.O., N 5 zu § 66 ZPO; von Rechenberg, a.a.O., S. 52; Spühler/Vock, a.a.O., S. 81). Unter diesen Umständen ist dem unentgeltlichen Rechtsvertreter des Beschwerdefüh- rers (vgl. KG act. 14) für seine Bemühungen und Auslagen im Kassationsverfah- ren eine Entschädigung aus der Gerichtskasse auszurichten, deren Höhe sich</w:t>
      </w:r>
    </w:p>
    <w:p>
      <w:r>
        <w:t>- 14 - nach den Vorschriften der AnwGebV richtet (§ 89 Abs. 2 ZPO und § 15 Abs. 1 AnwGebV; Frank/Sträuli/Messmer, a.a.O., N 9 zu § 89 ZPO; Höchli, a.a.O., S. 71).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