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AA050185 vom 31. Mai 2006</w:t>
      </w:r>
    </w:p>
    <w:p>
      <w:r>
        <w:t>Zh Kassationsgericht, 2006-05-31, DE</w:t>
      </w:r>
    </w:p>
    <w:p>
      <w:r>
        <w:rPr>
          <w:b/>
        </w:rPr>
        <w:t xml:space="preserve">Quelle: </w:t>
      </w:r>
      <w:r>
        <w:t>https://mcp.opencaselaw.ch/entscheid/zh_kassationsgericht_AA050185</w:t>
      </w:r>
    </w:p>
    <w:p>
      <w:r>
        <w:t>FR: ZH_KASSATIONSGERICHT AA050185 du 31 mai 2006</w:t>
      </w:r>
    </w:p>
    <w:p>
      <w:r>
        <w:t>IT: ZH_KASSATIONSGERICHT AA050185 del 31 maggio 2006</w:t>
      </w:r>
    </w:p>
    <w:p>
      <w:pPr>
        <w:pStyle w:val="Heading2"/>
      </w:pPr>
      <w:r>
        <w:t>Erwägungen</w:t>
      </w:r>
    </w:p>
    <w:p>
      <w:r>
        <w:rPr>
          <w:b/>
        </w:rPr>
        <w:t>E. 1</w:t>
      </w:r>
    </w:p>
    <w:p>
      <w:r>
        <w:t>Mit Eingabe vom 15. Juni 2004 liess die Klägerin, Rekursgegnerin und Beschwerdegegnerin (nachfolgend Beschwerdegegnerin) am Bezirksgericht E. ein Eheschutzbegehren anhängig machen (ER act. 1). Mit Verfügung vom 13. Oktober 2004 nahm der Einzelrichter im summarischen Verfahren des Bezirkes E. vom Getrenntleben der Parteien Vormerk und regelte die Nebenfolgen des Ge- trenntlebens. Insbesondere wurden die drei unmündigen Kinder der Parteien, zwei Töchter und ein Sohn, unter die Obhut der Beschwerdegegnerin gestellt und der Beklagte, Rekurrent und Beschwerdeführer (nachfolgend Beschwerdeführer) verpflichtet, der Beschwerdegegnerin für sie und die Kinder in der Zeit vom 23. – 31. Mai 2003 monatlich im voraus zahlbare Unterhaltsbeiträge von Fr. 1'170.-- (davon Fr. 480.-- inkl. Kinder- und Familienzulage für die Kinder) und ab 1. Juni 2004 von insgesamt Fr. 4'390.-- (davon Fr. 2'000.-- inkl. Kinder- und Familienzu- lagen für die drei Kinder) zu bezahlen (ER act. 27 = OG act. 3).</w:t>
      </w:r>
    </w:p>
    <w:p>
      <w:r>
        <w:rPr>
          <w:b/>
        </w:rPr>
        <w:t>E. 2</w:t>
      </w:r>
    </w:p>
    <w:p>
      <w:r>
        <w:t>Gegen diese Verfügung erhob der Beschwerdeführer Rekurs an die I. Zivilkammer des Obergerichts des Kantons Zürich und ersuchte im Hauptantrag u.a. um Zuteilung der Obhut über den Sohn an ihn, sowie um Reduktion der Un- terhaltsbeiträge an die Beschwerdegegnerin und die beiden unter ihrer Obhut stehenden Kinder auf monatlich Fr. 2'800.-- (davon je Fr. 1'000.-- inkl. Kinder- und Familienzulagen für die beiden Kinder) (OG act. 2). In teilweiser Gutheissung des Rekurses stellte die Vorinstanz mit Beschluss vom 27. Oktober 2005 den Sohn, welcher ab 1. November 2004 gemäss Vereinbarung zwischen der Beschwerde- gegnerin und dem Beschwerdeführer bei letzterem lebte, antragsgemäss unter die Obhut des Beschwerdeführers und verpflichtete diesen in teilweiser Bestäti- gung des erstinstanzlichen Entscheides, der Beschwerdegegnerin in der Zeit vom 23. Mai 2004 bis 31. Oktober 2004 für sie und die drei unter ihrer Obhut stehen- den Kinder einen monatlichen Unterhaltsbeitrag von Fr. 4'390.-- (davon Fr. 2’000.-- inkl. Kinder- und Familienzulagen für die Kinder) und ab 1. November 2004 für sie und die beiden unter ihrer Obhut stehenden Kinder einen monatlichen Unterhalts-</w:t>
      </w:r>
    </w:p>
    <w:p>
      <w:r>
        <w:t>- 3 - beitrag von Fr. 3'910.-- (davon Fr. 1'500.-- inkl. Kinder- und Familienzulage für die Kinder) zu bezahlen (OG act. 27 = KG act. 2).</w:t>
      </w:r>
    </w:p>
    <w:p>
      <w:r>
        <w:rPr>
          <w:b/>
        </w:rPr>
        <w:t>E. 3</w:t>
      </w:r>
    </w:p>
    <w:p>
      <w:r>
        <w:t>Es sei dem Beklagten für das Beschwerdeverfahren die unentgeltli- che Prozessführung zu gewähren und es sei ihm in der Person des Unterzeichneten ein unentgeltlicher Rechtsbeistand zu ernennen.</w:t>
      </w:r>
    </w:p>
    <w:p>
      <w:r>
        <w:rPr>
          <w:b/>
        </w:rPr>
        <w:t>E. 4</w:t>
      </w:r>
    </w:p>
    <w:p>
      <w:r>
        <w:t>Zusammenfassend konnte der Beschwerdeführer keinen Nichtigkeits- grund nachweisen, weshalb die Beschwerde abzuweisen ist, soweit darauf ein- getreten werden kann.</w:t>
      </w:r>
    </w:p>
    <w:p>
      <w:r>
        <w:t>- 12 - III. Der Beschwerdeführer hat im Beschwerdeverfahren das Gesuch gestellt, es sei ihm die unentgeltliche Prozessführung zu gewähren und ihm in der Person seines Rechtsvertreters ein unentgeltlicher Rechtsbeistand zu bestellen (KG act. 1 S. 2). Nachdem ihm diese Rechtswohltat bereits vor erster Instanz gewährt wurde (ER act. 27) und diese im Rechtsmittelverfahren weitergilt, besteht kein Grund, neu über diesen Antrag zu entscheiden. Ein Grund zum Entzug der Bewil- ligung (§ 91 ZPO) ist nicht ersichtlich. Die Kosten des Beschwerdeverfahrens sind ausgangsgemäss dem Be- schwerdeführer aufzuerlegen (§ 64 Abs. 2 ZPO), zufolge der unentgeltlichen Pro- zessführung jedoch einstweilen auf die Gerichtskasse zu nehmen. Die Nachzah- lungspflicht gemäss § 92 ZPO bleibt vorbehalten. Ferner ist der Beschwerdefüh- rer zu verpflichten, der unentgeltlichen Rechtsvertreterin der Beschwerdegegnerin eine angemessene Prozessentschädigung zu bezahlen. Da diese Entschädigung offensichtlich nicht erhältlich ist (vgl. dazu die Erwägung 3c oben betreffend Exi- stenzminimum), ist die Entschädigung aus der Gerichtskasse zu bezahlen; der Anspruch geht auf die Gerichtskasse über (§ 68 Abs. 1 i.V.m. § 89 Abs. 1, 2 und 3 ZPO). Dem unentgeltlichen Rechtsbeistand des Beschwerdeführers ist für seine Bemühungen im Beschwerdeverfahren eine Entschädigung aus der Gerichtskas- se auszurichten (§ 89 Abs. 2 ZPO).</w:t>
      </w:r>
    </w:p>
    <w:p>
      <w:r>
        <w:t>- 13 -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