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AA040098 vom 23. Dezember 2004</w:t>
      </w:r>
    </w:p>
    <w:p>
      <w:r>
        <w:t>Zh Kassationsgericht, 2004-12-23, DE</w:t>
      </w:r>
    </w:p>
    <w:p>
      <w:r>
        <w:rPr>
          <w:b/>
        </w:rPr>
        <w:t xml:space="preserve">Quelle: </w:t>
      </w:r>
      <w:r>
        <w:t>https://mcp.opencaselaw.ch/entscheid/zh_kassationsgericht_AA040098</w:t>
      </w:r>
    </w:p>
    <w:p>
      <w:r>
        <w:t>FR: ZH_KASSATIONSGERICHT AA040098 du 23 décembre 2004</w:t>
      </w:r>
    </w:p>
    <w:p>
      <w:r>
        <w:t>IT: ZH_KASSATIONSGERICHT AA040098 del 23 dicembre 2004</w:t>
      </w:r>
    </w:p>
    <w:p>
      <w:pPr>
        <w:pStyle w:val="Heading2"/>
      </w:pPr>
      <w:r>
        <w:t>Erwägungen</w:t>
      </w:r>
    </w:p>
    <w:p>
      <w:r>
        <w:rPr>
          <w:b/>
        </w:rPr>
        <w:t>E. 1</w:t>
      </w:r>
    </w:p>
    <w:p>
      <w:r>
        <w:t>Y. AG, Beklagte, Appellatin und Beschwerdegegnerin</w:t>
      </w:r>
    </w:p>
    <w:p>
      <w:r>
        <w:rPr>
          <w:b/>
        </w:rPr>
        <w:t>E. 2</w:t>
      </w:r>
    </w:p>
    <w:p>
      <w:r>
        <w:t>Z., Beklagte, Appellatin und Beschwerdegegnerin 1, 2 vertreten durch Rechtsanwalt ___________ betreffend Persönlichkeitsverletzung Nichtigkeitsbeschwerde gegen einen Beschluss der II. Zivilkammer des Obergerichts des Kantons Zürich vom 17. Mai 2004 (LB020067/U)</w:t>
      </w:r>
    </w:p>
    <w:p>
      <w:r>
        <w:t>- 2 - Das Gericht hat in Erwägung gezogen: I . 1. Im Zusammenhang mit einem am 18. August 1995 in der A.-Zeitung er- schienenen Artikel machte der (vor den Vorinstanzen anwaltlich vertretene) Be- schwerdeführer (Kläger und Appellant) am 20. März 1996 beim Bezirksgericht Zü- rich (3. Abteilung; Erstinstanz) gegen die beiden Beschwerdegegnerinnen (Be- klagte und Appellatinnen) eine Klage wegen Persönlichkeitsverletzung anhängig (BG act. 1 und 2), welche mit Urteil vom 19. Dezember 1997 (ein erstes Mal) ab- gewiesen wurde (BG act. 51). Dagegen appellierte der Beschwerdeführer, worauf das Zürcher Obergericht am 7. September 1998 beschloss, das erstinstanzliche Erkenntnis in Gutheissung der Berufung aufzuheben und die Sache zur Durchfüh- rung eines Beweisverfahrens und zur Neubeurteilung an die Erstinstanz zurück- zuweisen (BG act. 54). Nach durchgeführtem Beweisverfahren wies die Erstin- stanz die Klage mit Urteil vom 21. Juni 2002 erneut ab (BG act. 259 = OG act. 265). 2.a) Gegen dieses (zweite) bezirksgerichtliche Erkenntnis erklärte der Be- schwerdeführer abermals Berufung (BG act. 262), die er mit Schriftsatz vom</w:t>
      </w:r>
    </w:p>
    <w:p>
      <w:r>
        <w:rPr>
          <w:b/>
        </w:rPr>
        <w:t>E. 4</w:t>
      </w:r>
    </w:p>
    <w:p>
      <w:r>
        <w:t>Demzufolge ist die Beschwerde gutzuheissen, Dispositiv-Ziffer 5 des an- gefochtenen Beschlusses aufzuheben und die Sache im Sinne der vorstehenden Erwägungen, insbesondere zur Neuansetzung der Fristen zur Bezahlung der noch nicht geleisteten Kautionsraten, zurückzuweisen (§ 291 Satz 3 ZPO). Da das Berufungsverfahren damit in den Zustand der Rechtshängigkeit zurückver- setzt wird und dessen Ausgang wieder offen ist, erscheint es angezeigt, darüber hinaus auch die vom Ergebnis des zweitinstanzlichen Verfahrens abhängige (vgl.</w:t>
      </w:r>
    </w:p>
    <w:p>
      <w:r>
        <w:t>- 15 - § 64 Abs. 2 ZPO) Regelung der Nebenfolgen (Disp.-Ziff. 6-8 des angefochtenen Beschlusses) aufzuheben (s.a. Pra 2004 Nr. 70). II I. Da dem Beschwerdeführer im vorliegenden Kassationsverfahren keine Ko- sten auferlegt werden (vgl. nachstehende Erw. IV), erweist sich sein Gesuch um Gewährung der unentgeltlichen Prozessführung (KG II act. 1 S. 1) als hinfällig. Hinsichtlich des ebenfalls gestellten Gesuchs um Bestellung eines unentgeltlichen Rechtsbeistands für das Kassationsverfahren fragt sich, ob überhaupt ein recht- lich geschütztes Interesse an dessen Beurteilung besteht, nachdem der Be- schwerdeführer im Kassationsverfahren nicht anwaltlich vertreten ist und sich so- mit weder die Frage nach der Person des Entschädigungsberechtigten (vgl. § 89 Abs. 1 ZPO) noch diejenige einer allfälligen Entschädigung aus der Gerichtskasse (vgl. § 89 Abs. 2 ZPO) stellt. Sollte die Frage zu bejahen sein, wäre das Gesuch einerseits schon aus den im vorinstanzlichen Zwischenbeschluss vom 10. Juli 2003 (OG act. 313) genannten Gründen abzuweisen, auf welche Ausführungen zur Vermeidung unnötiger Wiederholungen im Sinne von § 161 GVG verwiesen werden kann (s.a. OG act. 324 und 337). Andererseits würde es auch an der sachlichen Notwendigkeit einer Rechtsverbeiständung fehlen, vermag der Be- schwerdeführer – wie die Beschwerdeschrift zeigt – seine Rechte im vorliegenden Kassationsverfahren doch auch ohne anwaltlichen Beistand gehörig zu wahren. IV . Ausgangsgemäss sind die Kosten des Beschwerdeverfahrens in Anwen- dung der allgemeinen Regel (§ 64 Abs. 2 ZPO) je zur Hälfte, jedoch unter solida- rischer Haftung beider Beschwerdegegnerinnen für den gesamten Betrag, den mit ihrem Antrag (auf Abweisung der Beschwerde) unterliegenden Beschwerdegeg-</w:t>
      </w:r>
    </w:p>
    <w:p>
      <w:r>
        <w:t>- 16 - nerinnen aufzuerlegen (s.a. BGE 119 Ia 1 ff.; Frank/Sträuli/Messmer, a.a.O., N 5 a.E. zu § 66 ZPO; Spühler/Vock, a.a.O., S. 80/81; von Rechenberg, a.a.O., S. 52). Überdies sind die Beschwerdegegnerinnen je hälftig und unter solidari- scher Haftung für den gesamten Betrag zu verpflichten, dem Beschwerdeführer für die im Zusammenhang mit der Beschwerdeerhebung entstandenen Kosten und Umtriebe eine nach Ermessen festzusetzende Prozessentschädigung auszu- richten (§ 68 Abs. 1 und § 69 ZPO; s.a. § 70 ZPO). Bei deren Bemessung ist zu beachten, dass der Beschwerdeführer im Kassationsverfahren nicht (mehr) an- waltlich vertreten ist, weshalb die Vorschriften der AnwGebV keine Anwendung finden (vgl. Frank/Sträuli/Messmer, a.a.O., N 3 zu § 69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