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HG230049 vom 2. Juni 2023</w:t>
      </w:r>
    </w:p>
    <w:p>
      <w:r>
        <w:t>Zh Handelsgericht, 2023-06-02, DE</w:t>
      </w:r>
    </w:p>
    <w:p>
      <w:r>
        <w:rPr>
          <w:b/>
        </w:rPr>
        <w:t xml:space="preserve">Quelle: </w:t>
      </w:r>
      <w:r>
        <w:t>https://mcp.opencaselaw.ch/entscheid/zh_handelsgericht_HG230049</w:t>
      </w:r>
    </w:p>
    <w:p>
      <w:r>
        <w:t>FR: ZH_HANDELSGERICHT HG230049 du 2 juin 2023</w:t>
      </w:r>
    </w:p>
    <w:p>
      <w:r>
        <w:t>IT: ZH_HANDELSGERICHT HG230049 del 2 giugno 2023</w:t>
      </w:r>
    </w:p>
    <w:p>
      <w:pPr>
        <w:pStyle w:val="Heading2"/>
      </w:pPr>
      <w:r>
        <w:t>Erwägungen</w:t>
      </w:r>
    </w:p>
    <w:p>
      <w:r>
        <w:rPr>
          <w:b/>
        </w:rPr>
        <w:t>E. 1</w:t>
      </w:r>
    </w:p>
    <w:p>
      <w:r>
        <w:t>Formelles</w:t>
      </w:r>
    </w:p>
    <w:p>
      <w:r>
        <w:rPr>
          <w:b/>
        </w:rPr>
        <w:t>E. 1.1</w:t>
      </w:r>
    </w:p>
    <w:p>
      <w:r>
        <w:t>Zuständigkeit Die örtliche Zuständigkeit des Handelsgerichts des Kantons Zürich stützt sich auf Art. 12 ZPO, da der Beklagte eine geschäftliche Niederlassung im Kanton Zürich betreibt, mit welcher die vorliegende Klage in einem sachlichen Zusammenhang steht. Die sachliche Zuständigkeit ergibt sich aus Art. 5 Abs. 1 lit. a ZPO i.V.m. § 44 lit. a GOG.</w:t>
      </w:r>
    </w:p>
    <w:p>
      <w:r>
        <w:rPr>
          <w:b/>
        </w:rPr>
        <w:t>E. 1.2</w:t>
      </w:r>
    </w:p>
    <w:p>
      <w:r>
        <w:t>Versäumte Klageantwort</w:t>
      </w:r>
    </w:p>
    <w:p>
      <w:r>
        <w:rPr>
          <w:b/>
        </w:rPr>
        <w:t>E. 1.2.1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w:t>
      </w:r>
    </w:p>
    <w:p>
      <w:r>
        <w:t>- 4 -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 sie trotz Säumnis der beklagten Partei abzuweisen. Dabei hat das Gericht auch rechtshemmende, rechtshindernde und rechtsaufhebende Tatsachen zu berück-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1.2.2</w:t>
      </w:r>
    </w:p>
    <w:p>
      <w:r>
        <w:t>Da der Beklagte auch innert Nachfrist keine Klageantwort eingereicht hat, ist androhungsgemäss zu verfahren. Entsprechend haben die klägerischen Be- hauptungen grundsätzlich als unbestritten zu gelten. Wie sogleich zu zeigen ist, erweist sich die Sache als spruchreif.</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dem Beklagten aufgrund des fehlenden Eingangs eines Erhebungsformulars gestützt auf Ziff. 6 ff. und insbesondere Ziff. 8.3 von GT 8 sowie Ziff. 8.3 von GT 9 einmalig einge- schätzt. Der Beklagte hat die Einschätzung weder beanstandet noch eine formge- rechte Erklärung «kein Kopierer» bzw. «kein Netzwerk» eingereicht (act. 1 Rz. 8). Nachdem der Beklagte den offenen Gesamtbetrag der Rechnungen trotz mehr- maligen Aufforderungen nicht beglichen hat, hat die Klägerin den Beklagten nochmals gemahnt, woraufhin wiederum keine Zahlung seitens des Beklagten er- folgte. Nach Übernahme des Inkassomandats haben die Vertreter der Klägerin den Beklagten mit Mahnschreiben vom 8. November 2022 noch einmal schriftlich</w:t>
      </w:r>
    </w:p>
    <w:p>
      <w:r>
        <w:t>- 5 - aufgefordert, den ausstehenden Betrag innert 10 Tagen zu bezahlen. Auf das be- sagte Mahnschreiben erfolgte nochmals eine telefonische Kontaktaufnahme sei- tens der Rechtsvertreter der Klägerin, welche jedoch wiederum nicht gefruchtet hat. Bis heute ist der Beklagte seiner Zahlungspflicht nicht nachgekommen (act. 1 Rz. 9).</w:t>
      </w:r>
    </w:p>
    <w:p>
      <w:r>
        <w:rPr>
          <w:b/>
        </w:rPr>
        <w:t>E. 2.1.2</w:t>
      </w:r>
    </w:p>
    <w:p>
      <w:r>
        <w:t>Zusammengefasst macht die Klägerin gestützt auf GT 8 VII 2017-2021 (verlängert bis 2022) eine Forderung aus der Rechnung Nr. 19381767 vom</w:t>
      </w:r>
    </w:p>
    <w:p>
      <w:r>
        <w:rPr>
          <w:b/>
        </w:rPr>
        <w:t>E. 2.2</w:t>
      </w:r>
    </w:p>
    <w:p>
      <w:r>
        <w:t>Aktiv- und Passivlegitimation</w:t>
      </w:r>
    </w:p>
    <w:p>
      <w:r>
        <w:rPr>
          <w:b/>
        </w:rPr>
        <w:t>E. 2.2.1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(jeweils verlängert bis 2022) gilt die Klä- gerin als Vertreterin und gemeinsame Zahlstelle (act. 3/2; Ziff. 4 GT 8 VII 2017- 2021 und Ziff. 3 GT 9 VII 2017-2021 [act. 3/5]). Die Klägerin ist deshalb zur Gel- tendmachung der Vergütungen aktivlegitimiert.</w:t>
      </w:r>
    </w:p>
    <w:p>
      <w:r>
        <w:rPr>
          <w:b/>
        </w:rPr>
        <w:t>E. 2.2.2</w:t>
      </w:r>
    </w:p>
    <w:p>
      <w:r>
        <w:t>Es ist nachvollziehbar und unbestritten, dass der Beklagte mit dem Zweck seines Einzelunternehmens (Führen eines Coiffeurgeschäftes) unter den Dienst- leistungsbereich «Ärzte, übrige Gesundheits- und Körperpflege» (siehe Bran-</w:t>
      </w:r>
    </w:p>
    <w:p>
      <w:r>
        <w:t>- 6 - chenbezeichnung in den entsprechenden Rechnungen [act. 3/4]) im Sinne von Ziff. 2.1 i.V.m. Ziff. 6.4.17 GT 8 VII bzw. Ziff. 1.2 i.V.m. Ziff. 6.4.17 GT 9 VII fällt. Daher ist er als grundsätzlich vergütungspflichtiger Nutzer passivlegitimiert.</w:t>
      </w:r>
    </w:p>
    <w:p>
      <w:r>
        <w:rPr>
          <w:b/>
        </w:rPr>
        <w:t>E. 2.3</w:t>
      </w:r>
    </w:p>
    <w:p>
      <w:r>
        <w:t>Vergütungsansprüche</w:t>
      </w:r>
    </w:p>
    <w:p>
      <w:r>
        <w:rPr>
          <w:b/>
        </w:rPr>
        <w:t>E. 2.3.1</w:t>
      </w:r>
    </w:p>
    <w:p>
      <w:r>
        <w:t>Gemäss Art. 19 Abs. 1 lit. c URG dürfen urheberrechtlich geschützte und veröffentlichte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2.3.2</w:t>
      </w:r>
    </w:p>
    <w:p>
      <w:r>
        <w:t>Nach den schlüssigen und unbestrittenen klägerischen Darstellungen hat die Klägerin den Beklagten – nachdem dieser bei der Erhebung der notwendigen Angaben nicht mitgewirkt hatte – zutreffend eingeschätzt und dementsprechend Rechnungen gestellt, welche bis anhin nicht beglichen wurden. Der Beklagte ist daher zu verpflichten, der Klägerin den für das Jahr 2022 ausstehenden Betrag von CHF 55.60 zu bezahlen.</w:t>
      </w:r>
    </w:p>
    <w:p>
      <w:r>
        <w:rPr>
          <w:b/>
        </w:rPr>
        <w:t>E. 2.4</w:t>
      </w:r>
    </w:p>
    <w:p>
      <w:r>
        <w:t>Zins Zudem fordert die Klägerin für die eingeklagten Forderungen einen Zins von 5 % seit dem 21. November 2022 (act. 1 S. 2). Auch dies blieb unbestritten. Der Be-</w:t>
      </w:r>
    </w:p>
    <w:p>
      <w:r>
        <w:t>- 7 - klagte ist daher zu verpflichten, der Klägerin einen Zins von 5 % seit 21. November 2022 zu bezahlen.</w:t>
      </w:r>
    </w:p>
    <w:p>
      <w:r>
        <w:rPr>
          <w:b/>
        </w:rPr>
        <w:t>E. 2.5</w:t>
      </w:r>
    </w:p>
    <w:p>
      <w:r>
        <w:t>Fazit Die Klägerin ist berechtigt, vom Beklagten gestützt auf Art. 19 f. URG eine Vergü- tung zu verlangen, und der Beklagte – der seiner Auskunftspflicht nicht nachge- kommen ist – einzuschätzen. Folglich ist der Beklagte in Gutheissung des klägeri- schen Rechtsbegehrens zu verpflichten, der Klägerin CHF 55.60 nebst Zins zu</w:t>
      </w:r>
    </w:p>
    <w:p>
      <w:r>
        <w:rPr>
          <w:b/>
        </w:rPr>
        <w:t>E. 4</w:t>
      </w:r>
    </w:p>
    <w:p>
      <w:r>
        <w:t>Februar 2022 im Umfang von CHF 30.50 zuzüglich Zins ab 21. November 2022 sowie gestützt auf GT 9 VII 2017-2021 (verlängert bis 2022) eine Forderung aus der Rechnung Nr. 21192673 vom 4. Februar 2022 im Umfang von CHF 25.10 zu- züglich Zins ab 21. November 2022 geltend (act. 1 S. 5).</w:t>
      </w:r>
    </w:p>
    <w:p>
      <w:r>
        <w:rPr>
          <w:b/>
        </w:rPr>
        <w:t>E. 5</w:t>
      </w:r>
    </w:p>
    <w:p>
      <w:r>
        <w:t>% seit 21. November 2022 zu bezahlen. 3. Kosten- und Entschädigungsfolgen 3.1.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55.60. In Anwendung von § 4 Abs. 1 und 2 sowie angesichts des im Verhältnis zum Streitwert hohen Zeit- aufwands ist die Mindestgebühr auf CHF 400.– zu erhöhen. Die Gerichtskosten sind ausgangsgemäss dem Beklagten aufzuerlegen (Art. 106 Abs. 1 ZPO) und vorab aus dem von der Klägerin geleisteten Kostenvorschuss zu decken, wobei der Klägerin in entsprechendem Umfang ein Rückgriffsrecht auf den Beklagten einzuräumen ist (Art. 111 Abs. 1 und 2 ZPO). 3.2. Parteientschädigung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w:t>
      </w:r>
    </w:p>
    <w:p>
      <w:r>
        <w:t>- 8 - eine Klageschrift (abzüglich Parteibezeichnungen, Rechtsbegehren und Ver- zeichnisse) von sechs Seiten (act. 1) und reichte (neben der Vollmacht) fünf Bei- lagen ein. Aufgrund dieser ausgewiesenen Arbeiten besteht selbst bei der maxi- 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