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HG230039 vom 13. Juli 2023</w:t>
      </w:r>
    </w:p>
    <w:p>
      <w:r>
        <w:t>Zh Handelsgericht, 2023-07-13, DE</w:t>
      </w:r>
    </w:p>
    <w:p>
      <w:r>
        <w:rPr>
          <w:b/>
        </w:rPr>
        <w:t xml:space="preserve">Quelle: </w:t>
      </w:r>
      <w:r>
        <w:t>https://mcp.opencaselaw.ch/entscheid/zh_handelsgericht_HG230039</w:t>
      </w:r>
    </w:p>
    <w:p>
      <w:r>
        <w:t>FR: ZH_HANDELSGERICHT HG230039 du 13 juillet 2023</w:t>
      </w:r>
    </w:p>
    <w:p>
      <w:r>
        <w:t>IT: ZH_HANDELSGERICHT HG230039 del 13 luglio 2023</w:t>
      </w:r>
    </w:p>
    <w:p>
      <w:pPr>
        <w:pStyle w:val="Heading2"/>
      </w:pPr>
      <w:r>
        <w:t>Erwägungen</w:t>
      </w:r>
    </w:p>
    <w:p>
      <w:r>
        <w:rPr>
          <w:b/>
        </w:rPr>
        <w:t>E. 1</w:t>
      </w:r>
    </w:p>
    <w:p>
      <w:r>
        <w:t>Formelles</w:t>
      </w:r>
    </w:p>
    <w:p>
      <w:r>
        <w:rPr>
          <w:b/>
        </w:rPr>
        <w:t>E. 1.1</w:t>
      </w:r>
    </w:p>
    <w:p>
      <w:r>
        <w:t>Zuständigkeit Die örtliche Zuständigkeit des hiesigen Handelsgerichts stützt sich auf Art. 10 Abs. 1 lit. b ZPO und ist gegeben, da die Beklagte ihren Sitz im Kanton Zürich</w:t>
      </w:r>
    </w:p>
    <w:p>
      <w:r>
        <w:t>- 4 - (C._____) hat. Die sachliche Zuständigkeit ergibt sich aus Art. 5 Abs. 1 lit. a ZPO i.V.m. Art. 6 Abs. 4 lit. a ZPO und § 44 lit. a GOG und ist ebenfalls gegeben.</w:t>
      </w:r>
    </w:p>
    <w:p>
      <w:r>
        <w:rPr>
          <w:b/>
        </w:rPr>
        <w:t>E. 1.2</w:t>
      </w:r>
    </w:p>
    <w:p>
      <w:r>
        <w:t>Weitere Prozessvoraussetzungen Die übrigen Prozessvoraussetzungen geben zu keinen Bemerkungen Anlass. Damit ist auf die Klage einzutreten.</w:t>
      </w:r>
    </w:p>
    <w:p>
      <w:r>
        <w:rPr>
          <w:b/>
        </w:rPr>
        <w:t>E. 2</w:t>
      </w:r>
    </w:p>
    <w:p>
      <w:r>
        <w:t>Materielles</w:t>
      </w:r>
    </w:p>
    <w:p>
      <w:r>
        <w:rPr>
          <w:b/>
        </w:rPr>
        <w:t>E. 2.1</w:t>
      </w:r>
    </w:p>
    <w:p>
      <w:r>
        <w:t>Aktiv- und Passivlegitimation Die Aktiv- und Passivlegitimation werden durch das materielle Grundrecht be- stimmt. Ihr Fehlen führt zur Abweisung der Klage. Sie sind von Amtes wegen frei zu prüfen (BGE 126 III 59 E. 1a = Pra 89 (2000) Nr. 117), im (vorliegenden) An- wendungsbereich der Verhandlungsmaxime (Art. 55 Abs. 1 ZPO) allerdings nur nach Massgabe des behaupteten und festgestellten Sachverhalts (BGE 118 Ia 129 E. 1). Die Bejahung der Aktivlegitimation bedeutet, dass die klagende Partei berechtigt ist, diesen Anspruch in eigenem Namen geltend zu machen. Die Beja- hung der Passivlegitimation besagt, dass sich der Anspruch gegen die beklagte Partei richten kann. Mit der Bejahung der Aktiv- oder Passivlegitimation ist aber noch nicht entschieden, ob der geltend gemachte Anspruch überhaupt und im be- haupteten Umfang besteht (BGE 114 II 345 = Pra 78 (1989) Nr. 83).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BGer 4A_203/2015 E. 3.3). Für die hier massgebenden Tarife GT 8 VII 2017-2021 so-</w:t>
      </w:r>
    </w:p>
    <w:p>
      <w:r>
        <w:t>- 5 - wie GT 9 VII 2017-2021 (jeweils verlängert bis 2022) gilt die Klägerin als Vertrete- rin und gemeinsame Zahlstelle (act. 3/2; Ziff. 4 GT 8 VII 2017-2021 und Ziff. 3 GT 9 VII 2017-2021 [act. 3/5]). Die Klägerin ist deshalb zur Geltendmachung der im Streit stehenden Vergütungen aktivlegitimiert. Es ist nachvollziehbar und unbestritten, dass die Beklagte als Steuerberatungsun- ternehmen unter den Dienstleistungsbereich «Rechtsanwälte, Notariate, Wirt- schafts- und Unternehmensberatung, Immobilienverwaltung, Treuhand, Revision und Inkasso» im Sinne von Ziff. 6.4.3 GT 8 VII bzw. Ziff. 6.4.3 GT 9 VII (act. 3/5) fällt. Sie ist daher als grundsätzlich vergütungspflichtige Nutzerin nach Ziff. 2.1 GT 8 VII bzw. Ziff. 1.2 GT 9 VII passivlegitimiert.</w:t>
      </w:r>
    </w:p>
    <w:p>
      <w:r>
        <w:rPr>
          <w:b/>
        </w:rPr>
        <w:t>E. 2.2</w:t>
      </w:r>
    </w:p>
    <w:p>
      <w:r>
        <w:t>Vergütungsanspruch</w:t>
      </w:r>
    </w:p>
    <w:p>
      <w:r>
        <w:rPr>
          <w:b/>
        </w:rPr>
        <w:t>E. 2.2.1</w:t>
      </w:r>
    </w:p>
    <w:p>
      <w:r>
        <w:t>Parteistandpunkte Die Klägerin macht geltend, sie habe die Fotokopiervergütung sowie die betriebs- interne Netzwerkvergütung gegenüber der Beklagten aufgrund des fehlenden Eingangs des Erhebungsformulars einmalig eingeschätzt. Da die Beklagte die Einschätzung nicht moniert und auch keine formgerechte Erklärung abgegeben habe, gelte die Einschätzung der Klägerin als anerkannt (act. 1 Rz. 8). Trotz mehrmaliger Zahlungsaufforderung, Mahnung und telefonischer Kontaktaufnahme sei die Beklagte ihrer Zahlungspflicht bis heute nicht nachgekommen (act. 1 Rz. 8 f.). Replicando legt die Klägerin die Zustellung des Meldeformulars und der Ein- schätzung dar und reicht entsprechende Belege ein (act. 11 Rz. 4, 6; act. 12/1-3). Der Umstand, dass die Beklagte nur eine Mitarbeiterin beschäftige, sei ihr (der Klägerin) zwar im Februar 2021 per E-Mail mitgeteilt worden, dieser Einwand ha- be sich aber auf das Vergütungsjahr 2022 bezogen, während die vorliegend ein- geklagte Forderung das Vergütungsjahr 2021 betreffe (act. 11 Rz. 9). Dem entgegnet die Beklagte, die Einschätzung der Klägerin liege ihr nicht vor und könne daher keine Rechtskraft entfalten. Mutmasslich sei die Einschätzung an ih- re vormalige Adresse in H._____ geschickt worden und dort untergegangen, weil man längst nach C._____ umgezogen sei. Sie habe der Klägerin mitgeteilt, dass</w:t>
      </w:r>
    </w:p>
    <w:p>
      <w:r>
        <w:t>- 6 - zu dem Zeitpunkt nur eine Mitarbeiterin für das Unternehmen arbeite, vor dem 1 . Mai 2021 habe es gar keine Mitarbeiter gegeben (act. 8). In der Duplik behauptet die Beklagte, es sei für sie neu, dass eine Entgegennahme von Schreiben durch die dazu nicht berechtigte Angestellte I._____ erfolgt sei, und es sei nicht ersicht- lich, was konkret diese entgegengenommen habe (act. 15).</w:t>
      </w:r>
    </w:p>
    <w:p>
      <w:r>
        <w:rPr>
          <w:b/>
        </w:rPr>
        <w:t>E. 2.2.2</w:t>
      </w:r>
    </w:p>
    <w:p>
      <w:r>
        <w:t>Rechtliches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dass die Verwertungsgesellschaften für die von ihnen geforderten Vergütungen Tarife aufstellen. Gemäss Art. 51 URG besteht sodann grundsätzlich eine Auskunfts- pflicht gegenüber den Verwertungsgesellschaften. Zur Erlangung der massgebli- chen Angaben für die Rechnungsstellung erhalten Nutzer in der Regel ein Erhe- bungsformular, mit welchem sie innert 30 Tagen die notwendigen Angaben zu melden haben. Falls die erbetenen Angaben auch nach einer schriftlichen Mah- nung nicht innert Nachfrist eingereicht werden, kann die Klägerin die Angaben schätzen und gestützt darauf Rechnung stellen. Diese Schätzung gilt als aner- kannt, wenn der betroffene Nutzer die für die Berechnung notwendigen Angaben nicht innerhalb von 30 Tagen nach Zustellung der Schätzung schriftlich bekannt gibt (vgl. Ziff. 8.3 ff. GT 8 VII 2017-2021 bzw. Ziff. 8.3 ff. GT 9 VII 2017-2021; Ur- teil des Bundesgerichts 4A_382/2019 vom 11. Dezember 2019 E. 3). Gemäss Ziffer 8.2a) GT 8 VII und GT 9 VII müssen Nutzer nicht jedes Jahr ein Erhebungsformular ausfüllen, sondern die Verwertungsgesellschaft kann die Rechnung gestützt auf die Angaben des Vorjahres erstellen. Die Nutzer sind dies- falls verpflichtet, allfällige Änderungen der Angaben innert 30 Tagen schriftlich nach Rechnungsstellung mitzuteilen, sodass dem Nutzer eine neue korrigierte Rechnung zugestellt werden kann. Nach bundesgerichtlicher Rechtsprechung</w:t>
      </w:r>
    </w:p>
    <w:p>
      <w:r>
        <w:t>- 7 - braucht auch ein Einschätzungsprozedere nicht jährlich wiederholt zu werden. Vielmehr kann in den Folgejahren grundsätzlich auf eine einmal eröffnete Ein- schätzung abgestellt werden, solange der Nutzer die effektiven Angaben nicht mitteilt. Indessen ist die gestützt auf eine Einschätzung gestellte Rechnung zu re- vidieren, wenn der Nutzer die erforderlichen Angaben doch noch meldet (Urteil des Bundesgerichts 4A_418/2007 vom 13. Dezember 2007 E. 8.3 und E. 9). In der bis Ende 2006 gültigen Fassung der gemeinsamen Tarife 8 und 9 (VI) war diese nachträgliche Meldemöglichkeit nicht befristet. So war die gestützt auf eine Einschätzung gestellte Rechnung stets zu revidieren, wenn der Nutzer nach der Einschätzung bzw. nach der Rechnungsstellung die erforderlichen Angaben noch meldete (dazu vorgenanntes Urteil des Bundesgerichts 4A_418/2007 vom 13. Dezember 2007 E. 9). Gemäss den aktuellen Fassungen der gemeinsamen Tarife 8 VII und 9 VII gibt es gewisse Fristen, innert welcher Änderungen bzw. Einwände geltend gemacht werden müssen. Gemäss Ziffer 8.2a) GT 8 VII und GT 9 VII müssen Nutzer, die aufgrund ihrer gemeldeten Angaben eine Pauschalvergütung zu entrichten haben, allfällige Änderungen der Angaben im Vergleich zum Vorjahr innert 30 Tagen nach der Rechnungstellung schriftlich mitteilen. Betreffen diese Mutationen das vergangene Jahr, wird dem Nutzer eine neue korrigierte Rech- nung zugestellt. Mutationen für das laufende Rechnungsjahr werden erst bei der Fakturierung des Folgejahres berücksichtigt. Im Falle einer Einschätzung sieht Ziffer 8.3 GT 8 VII und GT 9 VII vor, dass die Einschätzung als anerkannt gilt, wenn der Nutzer die für die Berechnung notwendigen Angaben nicht innerhalb von 30 Tagen nach Zustellung der Schätzung schriftlich bekannt gibt. Änderungen oder Einwände, die nicht innerhalb der 30 Tage seit Erhalt der Einschätzung ge- meldet werden, werden erst für die Rechnungstellung der Folgejahre berücksich- tigt. Für den Einwand, dass kein Fotokopiergerät bzw. kein Netzwerk vorhanden ist, gilt darüber hinaus gemäss Ziffer 8.5 GT 8 VII bzw. GT 9 VII eine Formular- pflicht (Urteil des Bundesgerichts 4A_382/2019 vom 11. Dezember 2019 E. 3.3.2).</w:t>
      </w:r>
    </w:p>
    <w:p>
      <w:r>
        <w:t>- 8 -</w:t>
      </w:r>
    </w:p>
    <w:p>
      <w:r>
        <w:rPr>
          <w:b/>
        </w:rPr>
        <w:t>E. 2.2.3</w:t>
      </w:r>
    </w:p>
    <w:p>
      <w:r>
        <w:t>Würdigung Der erste Zustellversuch des Meldeformulars erfolgte am 10. Juni 2021 ohne Zu- stellnachweis (vgl. act. 12/1). Am 11. August 2021 erging sodann die Mahnung zur Einreichung des Meldeformulars 2021, welche gemäss Sendungsverfolgung der Post in C._____ an die Beklagte zugestellt wurde (act. 12/2). Die Einschät- zung der Klägerin vom 30. September 2021 wurde der Beklagten ebenfalls per Einschreiben in C._____ zugestellt (act. 12/3). Es ist unbestritten, dass die Be- klagte weder das Meldeformular ausgefüllt und retourniert noch auf die Einschät- zung der Klägerin reagiert hat. Beide Sendungen (act. 12/2 f.) hat eine Angestellte der Beklagten entgegengenommen (vgl. act. 15). Ob und dass diese Angestellte (intern) nicht berechtigt gewesen sei, Post für die Beklagte zu empfangen, wie die Beklagte behauptet (vgl. act. 15), ist vorliegend nicht relevant, da sie als Ange- stellte der Beklagten im Aussenverhältnis, d.h. bei der Übergabe der Sendungen durch die Post, offensichtlich den Anschein erweckt hatte, entsprechende Sen- dungen von der Post annehmen zu dürfen (vgl. BGE 131 III 511 E. 3.2.1). Ferner wendet die Beklagte ein, sie habe ab dem 1. Mai 2021 lediglich eine Mit- arbeiterin beschäftigt, zuvor gar keine, was sie der Klägerin mitgeteilt habe (act. 8). Wann die entsprechende Mitteilung erfolgt sein soll, führt sie allerdings nicht aus, und reicht dazu auch keine Belege ein. Die Klägerin bestreitet dies zwar nicht, macht aber geltend, dass sich der Einwand der Beklagten nicht auf die vor- liegend eingeklagte Forderung bezogen habe (act. 11 Rz. 9 m.H. auf act. 12/6). Dies blieb unbestritten. Da der Einwand zudem im Februar 2022 erfolgte, galt die Einschätzung der Klägerin vom 30. September 2021 für das Vergütungsjahr 2021 zu diesem Zeitpunkt ohnehin bereits als anerkannt, da die 30-tägige Frist verstri- chen war. Zusammenfassend ist festzuhalten, dass die Klägerin die Beklagte – nachdem diese bei der Erhebung der notwendigen Angaben nicht mitgewirkt hatte – zutref- fend eingeschätzt und dementsprechend eine Rechnung gestellt hat, welche bis anhin nicht beglichen wurde. Die Beklagte ist daher zu verpflichten, der Klägerin den für das Vergütungsjahr 2021 ausstehenden Betrag von CHF 332.10 zu be- zahlen.</w:t>
      </w:r>
    </w:p>
    <w:p>
      <w:r>
        <w:t>- 9 -</w:t>
      </w:r>
    </w:p>
    <w:p>
      <w:r>
        <w:rPr>
          <w:b/>
        </w:rPr>
        <w:t>E. 2.3</w:t>
      </w:r>
    </w:p>
    <w:p>
      <w:r>
        <w:t>Verzugszins Die Klägerin verlangt zudem einen Verzugszins in der Höhe von 5% seit dem 21. November 2022 (act. 1 S. 2). Für den eingeklagten Betrag wurde die Beklagte mit Schreiben vom 8. November 2022 zur Zahlung bis spätestens 18. November 2022 aufgefordert (act. 3/6), wes- halb sie sich ab dem 19. November 2022 in Verzug befindet. Der Verzugszins von 5% ergibt sich aus Art. 104 Abs. 1 OR. Die Beklagte ist demnach antragsgemäss zu verpflichten, der Klägerin einen Zins von 5% seit 21. November 2022 zu be- 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332.10. In Anwendung von § 4 Abs. 1 und 2 GebV OG sowie angesichts des im Verhältnis zum Streitwert hohen Zeitaufwandes ist die Mindestgebühr von CHF 150.– auf CHF 500.– zu er- höhen. Die Gerichtskosten sind ausgangsgemäss der Beklagten aufzuerlegen (Art. 106 Abs. 1 ZPO) und vorab aus dem von der Klägerin geleisteten Kosten- vorschuss zu decken. Der Klägerin ist ein entsprechendes Rückgriffsrecht auf die Beklagte einzuräumen.</w:t>
      </w:r>
    </w:p>
    <w:p>
      <w:r>
        <w:rPr>
          <w:b/>
        </w:rPr>
        <w:t>E. 3.2</w:t>
      </w:r>
    </w:p>
    <w:p>
      <w:r>
        <w:t>Parteientschädigungen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w:t>
      </w:r>
    </w:p>
    <w:p>
      <w:r>
        <w:t>- 10 - bis zu einem Drittel erhöht werden (§ 4 Abs. 2 AnwGebV). Die Klägerin verfasste eine Klageschrift (abzüglich Parteibezeichnungen, Rechtsbegehren und Ver- zeichnisse) von fünf Seiten (act. 1) und reichte (neben der Vollmacht) fünf Beila- gen ein. Aufgrund dieser ausgewiesenen Arbeiten besteht selbst bei der maxima- len Gebühr nach § 4 Abs. 1 und 2 AnwGebV (CHF 133.–) ein offensichtliches Missverhältnis zum Zeitaufwand der Klägerin. Die Grundgebühr ist deshalb in Anwendung von § 2 Abs. 2 AnwGebV auf CHF 650.– angemessen zu erhöhen. Weiter verfasste die Klägerin eine Replik von zwei Seiten und reichte dazu acht Beilagen ein. Dafür ist ihr praxisgemäss ein Zuschlag von CHF 350.– zuzuspre- chen. Die Parteientschädigung beträgt demnach insgesamt CHF 1'000.–. Man- gels Darlegung der fehlenden Berechtigung zum Vorsteuerabzug ist die Partei- entschädigung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