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HG230037 vom 29. August 2023</w:t>
      </w:r>
    </w:p>
    <w:p>
      <w:r>
        <w:t>Zh Handelsgericht, 2023-08-29, DE</w:t>
      </w:r>
    </w:p>
    <w:p>
      <w:r>
        <w:rPr>
          <w:b/>
        </w:rPr>
        <w:t xml:space="preserve">Quelle: </w:t>
      </w:r>
      <w:r>
        <w:t>https://mcp.opencaselaw.ch/entscheid/zh_handelsgericht_HG230037</w:t>
      </w:r>
    </w:p>
    <w:p>
      <w:r>
        <w:t>FR: ZH_HANDELSGERICHT HG230037 du 29 août 2023</w:t>
      </w:r>
    </w:p>
    <w:p>
      <w:r>
        <w:t>IT: ZH_HANDELSGERICHT HG230037 del 29 agosto 2023</w:t>
      </w:r>
    </w:p>
    <w:p>
      <w:pPr>
        <w:pStyle w:val="Heading2"/>
      </w:pPr>
      <w:r>
        <w:t>Erwägungen</w:t>
      </w:r>
    </w:p>
    <w:p>
      <w:r>
        <w:rPr>
          <w:b/>
        </w:rPr>
        <w:t>E. 1</w:t>
      </w:r>
    </w:p>
    <w:p>
      <w:r>
        <w:t>Formelles</w:t>
      </w:r>
    </w:p>
    <w:p>
      <w:r>
        <w:rPr>
          <w:b/>
        </w:rPr>
        <w:t>E. 1.1</w:t>
      </w:r>
    </w:p>
    <w:p>
      <w:r>
        <w:t>Zustellfiktion Eine eingeschriebene Postsendung, die nicht abgeholt worden ist, gilt am siebten Tag nach dem erfolglosen Zustellungsversuch als zugestellt, soweit der Empfänger mit der Sendung rechnen musste (Art. 138 Abs. 3 lit. a ZPO). Holt der Adressat die eingeschriebene Sendung nicht innerhalb der siebentägigen Abholungsfrist ab, be- hilft sich die Zivilprozessordnung somit mit einer Fiktion: Der Adressat wird so be- handelt, wie wenn er die Sendung am letzten Tag der Frist abgeholt hätte (sog. Zustell- oder Zustellungsfiktion). Vorliegend hat der Beklagte die Verfügung vom 30. Juni 2023 nicht innert der Abholungsfrist abgeholt. Da der Beklagte nach Erhalt der Verfügung vom 3. Mai 2023 mit weiteren gerichtlichen Sendungen im Zusam- menhang mit dem vorliegenden Verfahren rechnen musste, gilt die Verfügung vom 30. Juni 2023 als dem Beklagten per 11. Juli 2023 zugestellt.</w:t>
      </w:r>
    </w:p>
    <w:p>
      <w:r>
        <w:t>- 4 -</w:t>
      </w:r>
    </w:p>
    <w:p>
      <w:r>
        <w:rPr>
          <w:b/>
        </w:rPr>
        <w:t>E. 1.2</w:t>
      </w:r>
    </w:p>
    <w:p>
      <w:r>
        <w:t>Versäumte Klageantwort Gemäss Art. 223 Abs. 2 ZPO trifft das Gericht bei definitiv versäumter Klageantwort einen Endentscheid, sofern die Angelegenheit spruchreif ist. Hierzu muss die Klage soweit geklärt sein, dass darauf entweder mangels Prozessvoraussetzungen nicht eingetreten oder sie durch Sachurteil erledigt werden kann. Steht dem Eintreten auf die Klage nichts entgegen, bedeutet Spruchreife, dass der Klagegrund im Hinblick auf die anwendbaren Rechtsnormen hinreichend substantiiert ist und das Gericht an der Richtigkeit der klägerischen Tatsachenbehauptungen keine erheblichen Zweifel hat (Art. 153 Abs. 2 ZPO). Unter den gegebenen Umständen ist, wenn es die klägerische Sachdarstellung erlaubt, nach dem Klagebegehren zu erkennen, andernfalls ist die Klage abzuweisen. Dabei hat das Gericht auch rechtshem- mende, rechtshindernde und rechtsaufhebende Tatsachen zu berücksichtigen, so- weit sie in der Klage selbst angeführt sind. Andere Tatsachen, die aus den Akten ersichtlich sind, dürfen nur insoweit berücksichtigt werden, als sie für das Vorhan- densein der von Amtes wegen zu prüfenden Prozessvoraussetzungen von Bedeu- tung sind (Art. 60 ZPO). An der erforderlichen Spruchreife fehlt es, wenn das Kla- gebegehren oder die Begründung der Klage (noch) unklar, unbestimmt oder offen- sichtlich unvollständig ist (Art. 56 ZPO) oder dem Gericht die Klagebegründung in erheblichem Mass als unglaubhaft erscheint und es darüber Beweis erheben will (BGE 144 III 394, E. 4.3.2.2; Art. 153 Abs. 2 ZPO; WILLISEGGER, in: SPÜHLER/TEN- CHIO/INFANGER [Hrsg.], Basler Kommentar ZPO, 3. Aufl., 2017, Art. 223 N 17 ff.; PAHUD, in: BRUNNER/GASSER/SCHWANDER [Hrsg.], DIKE-Komm. ZPO, 2. Aufl., 2016, Art. 223 N 3 ff.). Da der Beklagte innert (Nach-)Frist keine Klageantwort eingereicht hat, ist androhungsgemäss zu verfahren. Entsprechend haben die klägerischen Be- hauptungen grundsätzlich als unbestritten zu gelten.</w:t>
      </w:r>
    </w:p>
    <w:p>
      <w:r>
        <w:rPr>
          <w:b/>
        </w:rPr>
        <w:t>E. 1.3</w:t>
      </w:r>
    </w:p>
    <w:p>
      <w:r>
        <w:t>Prozessvoraussetzungen Die örtliche Zuständigkeit des hiesigen Handelsgerichts stützt sich auf Art. 10 Abs. 1 lit. a ZPO und ist gegeben, da der Beklagte seinen Wohnsitz im Kanton Zü- rich hat. Die sachliche Zuständigkeit ergibt sich aus Art. 5 Abs. 1 lit. a ZPO i.V.m. Art. 6 Abs. 4 lit. a ZPO und § 44 lit. a GOG und ist ebenfalls gegeben. Die übrigen</w:t>
      </w:r>
    </w:p>
    <w:p>
      <w:r>
        <w:t>- 5 - Prozessvoraussetzungen geben zu keinen Bemerkungen Anlass. Damit ist auf die Klage einzutreten. Wie sogleich zu zeigen ist, erweist sich die Sache als spruchreif.</w:t>
      </w:r>
    </w:p>
    <w:p>
      <w:r>
        <w:rPr>
          <w:b/>
        </w:rPr>
        <w:t>E. 2</w:t>
      </w:r>
    </w:p>
    <w:p>
      <w:r>
        <w:t>Materielles</w:t>
      </w:r>
    </w:p>
    <w:p>
      <w:r>
        <w:rPr>
          <w:b/>
        </w:rPr>
        <w:t>E. 2.1</w:t>
      </w:r>
    </w:p>
    <w:p>
      <w:r>
        <w:t>Unbestrittener Sachverhalt Gemäss den schlüssigen und unbestrittenen klägerischen Vorbringen ist von fol- gendem Sachverhalt auszugehen: Aufgrund des fehlenden Eingangs eines Erhe- bungsformulars hat die Klägerin den Beklagten gestützt auf Ziff. 6 ff. und insbeson- dere Ziff. 8.3 GT 8 VII 2017-2021 bzw. GT 9 VII 2017-2021 (jeweils verlängert bis 2022) einmalig eingeschätzt (act. 1 Rz. 8; act. 3/5). Der Beklagte hat die Einschät- zung weder beanstandet noch eine formgerechte Erklärung «kein Kopierer» bzw. «kein Netzwerk» eingereicht (act. 1 Rz. 8). Die in Rechnung gestellten Forderun- gen für das Jahr 2022 hat der Beklagte trotz mehrmaliger Aufforderung nicht begli- chen. Auch nach weiteren Mahnungen, letztmals mit Schreiben vom 8. November 2022, sowie telefonischer Kontaktaufnahme, hat der Beklagte die geltend gemach- ten Forderungen nicht bezahlt (act. 1 Rz. 9; act. 3/4; act. 3/6). Zusammengefasst macht die Klägerin gestützt auf GT 8 VII 2017-2021 sowie GT 9 VII 2017-2021 Forderungen aus folgenden Rechnungen von total CHF 47.70 gel- tend (act. 1 S. 5; act. 3/4-6): (1) Rechnung vom 4. Februar 2022 (Nr. 19408464): CHF 26.15 (2) Rechnung vom 4. Februar 2022 (Nr. 21217425): CHF 21.55</w:t>
      </w:r>
    </w:p>
    <w:p>
      <w:r>
        <w:rPr>
          <w:b/>
        </w:rPr>
        <w:t>E. 2.2</w:t>
      </w:r>
    </w:p>
    <w:p>
      <w:r>
        <w:t>Rechtliches</w:t>
      </w:r>
    </w:p>
    <w:p>
      <w:r>
        <w:rPr>
          <w:b/>
        </w:rPr>
        <w:t>E. 2.2.1</w:t>
      </w:r>
    </w:p>
    <w:p>
      <w:r>
        <w:t>Aktiv- und Passivlegitimation Für die Verwendung von veröffentlichten Werken zum Eigengebrauch in Betrieben ist eine Vergütung geschuldet (Art. 19 Abs. 1 lit. c bzw. Art. 20 Abs. 2 URG). Den Vergütungsanspruch nach Art. 20 Abs. 2 URG können nur zugelassene Verwer- tungsgesellschaften geltend machen (Art. 20 Abs. 4 URG). Gestützt auf die Bewil- ligungen des Instituts für Geistiges Eigentum vom 4. Juni 2013 bzw. 27. September</w:t>
      </w:r>
    </w:p>
    <w:p>
      <w:r>
        <w:t>- 6 - 2017 (act. 3/2) (verlängert mit Verfügung vom 15. September 2022 [gerichtsnoto- risch]) verfügt die Klägerin über eine solche Zulassung (vgl. Art. 41 ff. URG). Die Vergütungsansprüche werden aufgrund von Tarifen geltend gemacht, welche nach rechtskräftiger Genehmigung für die Gerichte verbindlich sind (Art. 44 ff. URG; Art. 59 Abs. 3 URG; BGE 125 III 141 E. 4a; Urteil des Bundesgerichts 4A_203/2015 vom 30. Juni 2015 E. 3.3.). Für die hier massgebenden Tarife GT 8 VII 2017-2021 sowie GT 9 VII 2017-2021 (jeweils verlängert bis 2022) gilt die Klägerin als Vertre- terin und gemeinsame Zahlstelle (act. 3/2; Ziff. 4 GT 8 VII 2017-2021 und Ziff. 3 GT 9 VII 2017-2021 [act. 3/5]). Die Klägerin ist deshalb zur Geltendmachung der Ver- gütungen aktivlegitimiert. Der Beklagte ist Inhaber eines Treuhandunternehmens (act. 3/3) und fällt somit unter den Branchenbegriff «Dienstleistungsbereich» [Treuhand] (siehe Branchen- bezeichnung in den entsprechenden Rechnungen [act. 3/4]) im Sinne von Ziff. 6.4.3 GT 8 VII bzw. Ziff. 6.4.3 GT 9 VII (act. 3/5). Er ist daher Nutzer nach Ziff. 2 GT 8 VII bzw. GT 9 VII und somit passivlegitimiert.</w:t>
      </w:r>
    </w:p>
    <w:p>
      <w:r>
        <w:rPr>
          <w:b/>
        </w:rPr>
        <w:t>E. 2.2.2</w:t>
      </w:r>
    </w:p>
    <w:p>
      <w:r>
        <w:t>Vergütungsansprüche Gemäss Art. 19 Abs. 1 lit. c URG dürfen urheberrechtlich geschützte und veröffent- lichte Werke zum Eigengebrauch verwendet werden, wobei als Eigengebrauch ins- besondere das Vervielfältigen von Werkexemplaren in Betrieben, öffentlichen Ver- waltungen, Instituten, Kommissionen und ähnlichen Einrichtungen für die interne Information oder Dokumentation gilt. Wer zum Eigengebrauch gemäss Art. 19 Abs. 1 lit. c URG befugt ist, schuldet dem Urheber oder der Urheberin dafür eine Vergütung (Art. 20 Abs. 2 URG). Art. 46 Abs. 1 URG bestimmt sodann, dass die Verwertungsgesellschaften – wie die Klägerin eine ist – für die von ihnen geforder- ten Vergütungen Tarife aufstellen. Gemäss Art. 51 URG besteht grundsätzlich eine Auskunftspflicht gegenüber den Verwertungsgesellschaften. Zur Erlangung der massgeblichen Angaben für die Rechnungsstellung erhalten Nutzer u.U. ein Erhe- bungsformular, mit welchem sie innert 30 Tagen die notwendigen Angaben zu mel- den haben. Bei der Festlegung der Vergütungsansprüche wird eine Pauschalierung vorgenommen; ausdrücklich nicht berücksichtigt wird demgegenüber die individu- elle Nutzung im Einzelfall (BGE 125 III 141 E. 4b).</w:t>
      </w:r>
    </w:p>
    <w:p>
      <w:r>
        <w:t>- 7 -</w:t>
      </w:r>
    </w:p>
    <w:p>
      <w:r>
        <w:rPr>
          <w:b/>
        </w:rPr>
        <w:t>E. 2.3</w:t>
      </w:r>
    </w:p>
    <w:p>
      <w:r>
        <w:t>Würdigung und Fazit Die Klägerin hat den Beklagten – nachdem dieser bei der Erhebung der notwendi- gen Angaben nicht mitgewirkt hatte – zutreffend eingeschätzt und dementspre- chende Rechnungen gestellt, welche bis anhin nicht beglichen wurden. Der Be- klagte ist daher zu verpflichten, der Klägerin den für das Jahr 2022 ausstehenden Gesamtbetrag von CHF 47.70 zu bezahlen. Zudem fordert die Klägerin Zins von 5 % seit dem 21. November 2022 (act. 1, Rechtsbegehren Ziff. 1). Der Beklagte wurde mit Schreiben vom 8. November 2022 zur Zahlung der Forderung von CHF 47.70 bis 18. November 2022 aufgefordert (act. 3/6), womit er sich am 21. November 2022 bereits in Verzug befand. Der Ver- zugszins ist geschuldet. Zusammenfassend ist der Beklagte in Gutheissung des klägerischen Rechtsbegeh- rens zu verpflichten, der Klägerin CHF 47.70 nebst Zins zu 5 % seit 21. November 2022 zu bezahlen.</w:t>
      </w:r>
    </w:p>
    <w:p>
      <w:r>
        <w:rPr>
          <w:b/>
        </w:rPr>
        <w:t>E. 3</w:t>
      </w:r>
    </w:p>
    <w:p>
      <w:r>
        <w:t>Kosten- und Entschädigungsfolgen</w:t>
      </w:r>
    </w:p>
    <w:p>
      <w:r>
        <w:rPr>
          <w:b/>
        </w:rPr>
        <w:t>E. 3.1</w:t>
      </w:r>
    </w:p>
    <w:p>
      <w:r>
        <w:t>Gerichtskosten Die Höhe der Gerichtsgebühr bestimmt sich nach der Gebührenverordnung des Obergerichts (Art. 96 ZPO i.V.m. § 199 Abs. 1 GOG) und richtet sich in erster Linie nach dem Streitwert bzw. nach dem tatsächlichen Streitinteresse (§ 2 Abs. 1 lit. a GebV OG). Vorliegend beträgt der Streitwert CHF 47.70. In Anwendung von § 4 Abs. 1 und 2 sowie angesichts des im Verhältnis zum Streitwert hohen Zeitauf- wands ist die Mindestgebühr von CHF 150.– auf CHF 400.– zu erhöhen. Die Ge- richtskosten sind ausgangsgemäss dem Beklagten aufzuerlegen (Art. 106 Abs. 1 ZPO) und vorab aus dem von der Klägerin geleisteten Kostenvorschuss zu decken, wobei der Klägerin in entsprechendem Umfang ein Rückgriffsrecht auf den Beklag- ten einzuräumen ist (Art. 111 Abs. 1 und 2 ZPO).</w:t>
      </w:r>
    </w:p>
    <w:p>
      <w:r>
        <w:t>- 8 -</w:t>
      </w:r>
    </w:p>
    <w:p>
      <w:r>
        <w:rPr>
          <w:b/>
        </w:rPr>
        <w:t>E. 3.2</w:t>
      </w:r>
    </w:p>
    <w:p>
      <w:r>
        <w:t>Parteientschädigungen Ausgangsgemäss ist der Klägerin zudem eine Parteientschädigung zuzusprechen. Deren Höhe richtet sich nach der Anwaltsgebührenverordnung vom 8. September 2010 (AnwGebV; Art. 105 Abs. 2 und Art. 96 ZPO). Die Grundgebühr ist mit der Begründung oder Beantwortung der Klage verdient (§ 11 Abs. 1 AnwGebV). Nach § 4 Abs. 1 AnwGebV beträgt die einfache Grundgebühr vorliegend CHF 100.– (Mi- nimalgebühr). Diese kann bei besonders hohem Zeitaufwand um bis zu einem Drit- tel erhöht werden (§ 4 Abs. 2 AnwGebV). Die Klägerin verfasste eine Klageschrift (abzüglich Parteibezeichnungen, Rechtsbegehren und Verzeichnisse) von rund fünf Seiten (act. 1) und reichte (neben der Vollmacht) fünf Beilagen ein. Aufgrund dieser ausgewiesenen Arbeiten besteht selbst bei der maximalen Gebühr nach § 4 Abs. 1 und 2 AnwGebV (CHF 133.–) ein offensichtliches Missverhältnis zum Zeitaufwand der Klägerin. Die Gebühr ist deshalb in Anwendung von § 2 Abs. 2 AnwGebV auf CHF 650.– angemessen zu erhöhen. Mangels Darlegung der feh- lenden Berechtigung zum Vorsteuerabzug ist die Parteientschädigung praxisge- mäss ohne Mehrwertsteuerzuschlag zuzusprechen (vgl. Urteil des Bundesgerichts 4A_552/2015 vom 25. Mai 2016 E. 4.5).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