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HG230031 vom 30. Mai 2023</w:t>
      </w:r>
    </w:p>
    <w:p>
      <w:r>
        <w:t>Zh Handelsgericht, 2023-05-30, DE</w:t>
      </w:r>
    </w:p>
    <w:p>
      <w:r>
        <w:rPr>
          <w:b/>
        </w:rPr>
        <w:t xml:space="preserve">Quelle: </w:t>
      </w:r>
      <w:r>
        <w:t>https://mcp.opencaselaw.ch/entscheid/zh_handelsgericht_HG230031</w:t>
      </w:r>
    </w:p>
    <w:p>
      <w:r>
        <w:t>FR: ZH_HANDELSGERICHT HG230031 du 30 mai 2023</w:t>
      </w:r>
    </w:p>
    <w:p>
      <w:r>
        <w:t>IT: ZH_HANDELSGERICHT HG230031 del 30 maggio 2023</w:t>
      </w:r>
    </w:p>
    <w:p>
      <w:pPr>
        <w:pStyle w:val="Heading2"/>
      </w:pPr>
      <w:r>
        <w:t>Erwägungen</w:t>
      </w:r>
    </w:p>
    <w:p>
      <w:r>
        <w:rPr>
          <w:b/>
        </w:rPr>
        <w:t>E. 1</w:t>
      </w:r>
    </w:p>
    <w:p>
      <w:r>
        <w:t>Formelles</w:t>
      </w:r>
    </w:p>
    <w:p>
      <w:r>
        <w:rPr>
          <w:b/>
        </w:rPr>
        <w:t>E. 1.1</w:t>
      </w:r>
    </w:p>
    <w:p>
      <w:r>
        <w:t>Zuständigkeit Die örtliche Zuständigkeit des Handelsgerichts des Kantons Zürich stützt sich auf Art. 10 Abs. 1 lit. b ZPO, da die Beklagte ihren Sitz im Kanton Zürich hat. Die sachliche Zuständigkeit ergibt sich aus Art. 5 Abs. 1 lit. a ZPO i.V.m. § 44 lit. a GOG.</w:t>
      </w:r>
    </w:p>
    <w:p>
      <w:r>
        <w:rPr>
          <w:b/>
        </w:rPr>
        <w:t>E. 1.2</w:t>
      </w:r>
    </w:p>
    <w:p>
      <w:r>
        <w:t>Versäumte Klageantwort</w:t>
      </w:r>
    </w:p>
    <w:p>
      <w:r>
        <w:t>- 4 -</w:t>
      </w:r>
    </w:p>
    <w:p>
      <w:r>
        <w:rPr>
          <w:b/>
        </w:rPr>
        <w:t>E. 1.2.1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 sie trotz Säumnis der beklagten Partei abzuweisen. Dabei hat das Gericht auch rechtshemmende, rechtshindernde und rechtsaufhebende Tatsachen zu berück- sichtigen, soweit sie in der Klage selbst angeführt sind. Andere Tatsachen, die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1.2.2</w:t>
      </w:r>
    </w:p>
    <w:p>
      <w:r>
        <w:t>Da die Beklagte auch innert Nachfrist keine Klageantwort eingereicht hat, ist androhungsgemäss zu verfahren. Entsprechend haben die klägerischen Be- hauptungen grundsätzlich als unbestritten zu gelten. Wie sogleich zu zeigen ist, erweist sich die Sache als spruchreif.</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sowie die betriebsinterne Netzwerkvergütung gegenüber der Beklagten auf- grund des fehlenden Eingangs eines Erhebungsformulars gestützt auf Ziff. 6 ff. und insbesondere Ziff. 8.3 von GT 8 sowie Ziff. 8.3 von GT 9 einmalig einge- schätzt. Die Beklagte hat die Einschätzung weder beanstandet noch eine formge-</w:t>
      </w:r>
    </w:p>
    <w:p>
      <w:r>
        <w:t>- 5 - rechte Erklärung «kein Kopierer» bzw. «kein Netzwerk» eingereicht (act. 1 Rz. 8). Nachdem die Beklagte den offenen Gesamtbetrag der Rechnungen trotz mehr- maligen Aufforderungen nicht beglichen hat, hat die Klägerin die Beklagte noch- mals gemahnt, woraufhin wiederum keine Zahlung seitens der Beklagten erfolgte. Nach Übernahme des Inkassomandats haben die Vertreter der Klägerin die Be- klagte mit Mahnschreiben vom 8. November 2022 noch einmal schriftlich aufge- fordert, den ausstehenden Betrag innert 10 Tagen zu bezahlen. Auf das besagte Mahnschreiben erfolgte nochmals eine telefonische Kontaktaufnahme seitens der Rechtsvertreter der Klägerin, welche jedoch wiederum nicht gefruchtet hat. Bis heute ist die Beklagte ihrer Zahlungspflicht nicht nachgekommen (act. 1 Rz. 9).</w:t>
      </w:r>
    </w:p>
    <w:p>
      <w:r>
        <w:rPr>
          <w:b/>
        </w:rPr>
        <w:t>E. 2.1.2</w:t>
      </w:r>
    </w:p>
    <w:p>
      <w:r>
        <w:t>Zusammengefasst macht die Klägerin gestützt auf GT 8 VII 2017-2021 eine Forderung aus der Rechnung Nr. 19385534 vom 4. Februar 2022 im Umfang von CHF 26.15 zuzüglich Zins ab 21. November 2022 sowie gestützt auf GT 9 VII 2017-2021 eine Forderung aus der Rechnung Nr. 21196176 vom 4. Februar 2022 im Umfang von CHF 21.55 zuzüglich Zins ab 21. November 2022 geltend (act. 1 S. 5).</w:t>
      </w:r>
    </w:p>
    <w:p>
      <w:r>
        <w:rPr>
          <w:b/>
        </w:rPr>
        <w:t>E. 2.2</w:t>
      </w:r>
    </w:p>
    <w:p>
      <w:r>
        <w:t>Rechtliches</w:t>
      </w:r>
    </w:p>
    <w:p>
      <w:r>
        <w:rPr>
          <w:b/>
        </w:rPr>
        <w:t>E. 2.2.1</w:t>
      </w:r>
    </w:p>
    <w:p>
      <w:r>
        <w:t>Aktiv- und Passivlegitimation</w:t>
      </w:r>
    </w:p>
    <w:p>
      <w:r>
        <w:rPr>
          <w:b/>
        </w:rPr>
        <w:t>E. 2.2.1.1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die hier massgebenden Tarife GT 8 VII 2017-2021 sowie GT 9 VII 2017-2021 (jeweils verlängert bis 2022) gilt die Klä-</w:t>
      </w:r>
    </w:p>
    <w:p>
      <w:r>
        <w:t>- 6 - gerin als Vertreterin und gemeinsame Zahlstelle (act. 3/2; Ziff. 4 GT 8 VII 2017- 2021 und Ziff. 3 GT 9 VII 2017-2021 [act. 3/5]). Die Klägerin ist deshalb zur Gel- tendmachung der Vergütungen aktivlegitimiert.</w:t>
      </w:r>
    </w:p>
    <w:p>
      <w:r>
        <w:rPr>
          <w:b/>
        </w:rPr>
        <w:t>E. 2.2.1.2</w:t>
      </w:r>
    </w:p>
    <w:p>
      <w:r>
        <w:t>Es ist nachvollziehbar und unbestritten, dass die Beklagte mit ihrem Ge- sellschaftszweck (Erbringung von Dienstleistungen und Consulting im EDV-, Netzwerk- und Internetbereich sowie Handel mit Computerperipherie) unter den Dienstleistungsbereich «Informatik» (siehe Branchenbezeichnung in den entspre- chenden Rechnungen [act. 3/4]) im Sinne von Ziff. 2.1 i.V.m. Ziff. 6.4.4 GT 8 VII bzw. Ziff. 1.2 i.V.m. Ziff. 6.4.4 GT 9 VII fällt. Daher ist sie als grundsätzlich vergü- tungspflichtige Nutzerin passivlegitimiert.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Bei der Festlegung der Vergütungsansprüche wird eine Pauschalierung vorgenommen; ausdrücklich nicht berücksichtigt wird demgegenüber die individuelle Nutzung im Einzelfall (BGE 125 III 141 E. 4b).</w:t>
      </w:r>
    </w:p>
    <w:p>
      <w:r>
        <w:rPr>
          <w:b/>
        </w:rPr>
        <w:t>E. 2.2.3</w:t>
      </w:r>
    </w:p>
    <w:p>
      <w:r>
        <w:t>Nach den schlüssigen und unbestrittenen klägerischen Darstellungen hat die Klägerin die Beklagte – nachdem diese bei der Erhebung der notwendigen Angaben nicht mitgewirkt hatte – zutreffend eingeschätzt und dementsprechend Rechnungen gestellt, welche bis anhin nicht beglichen wurden. Die Beklagte ist</w:t>
      </w:r>
    </w:p>
    <w:p>
      <w:r>
        <w:t>- 7 - daher zu verpflichten, der Klägerin den für das Jahr 2022 ausstehenden Betrag von CHF 47.70 zu bezahlen.</w:t>
      </w:r>
    </w:p>
    <w:p>
      <w:r>
        <w:rPr>
          <w:b/>
        </w:rPr>
        <w:t>E. 2.3</w:t>
      </w:r>
    </w:p>
    <w:p>
      <w:r>
        <w:t>Zins Zudem fordert die Klägerin für die eingeklagten Forderungen einen Zins von 5 % seit dem 21. November 2022 (act. 1 S. 2). Auch dies blieb unbestritten. Die Be- klagte ist daher zu verpflichten, der Klägerin einen Zins von 5 % seit 21. November 2022 zu bezahlen.</w:t>
      </w:r>
    </w:p>
    <w:p>
      <w:r>
        <w:rPr>
          <w:b/>
        </w:rPr>
        <w:t>E. 2.4</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47.70 nebst Zins zu 5 % seit 21. November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47.70. In Anwendung von § 4 Abs. 1 und 2 sowie angesichts des im Verhältnis zum Streitwert hohen Zeit- aufwands ist die Mindestgebühr auf CHF 400.– zu erhöhen. Die Gerichtskosten sind ausgangsgemäss der Beklagten aufzuerlegen (Art. 106 Abs. 1 ZPO) und vorab aus dem von der Klägerin geleisteten Kostenvorschuss zu decken, wobei der Klägerin in entsprechendem Umfang ein Rückgriffsrecht auf den Beklagten einzuräumen ist (Art. 111 Abs. 1 und 2 ZPO).</w:t>
      </w:r>
    </w:p>
    <w:p>
      <w:r>
        <w:rPr>
          <w:b/>
        </w:rPr>
        <w:t>E. 3.2</w:t>
      </w:r>
    </w:p>
    <w:p>
      <w:r>
        <w:t>Parteientschädigung</w:t>
      </w:r>
    </w:p>
    <w:p>
      <w:r>
        <w:t>- 8 -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sechs Seiten (act. 1) und reichte (neben der Vollmacht) fünf Bei- lagen ein. Aufgrund dieser ausgewiesenen Arbeiten besteht selbst bei der maxi- 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