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HG220189 vom 17. Februar 2023</w:t>
      </w:r>
    </w:p>
    <w:p>
      <w:r>
        <w:t>Zh Handelsgericht, 2023-02-17, DE</w:t>
      </w:r>
    </w:p>
    <w:p>
      <w:r>
        <w:rPr>
          <w:b/>
        </w:rPr>
        <w:t xml:space="preserve">Quelle: </w:t>
      </w:r>
      <w:r>
        <w:t>https://mcp.opencaselaw.ch/entscheid/zh_handelsgericht_HG220189</w:t>
      </w:r>
    </w:p>
    <w:p>
      <w:r>
        <w:t>FR: ZH_HANDELSGERICHT HG220189 du 17 février 2023</w:t>
      </w:r>
    </w:p>
    <w:p>
      <w:r>
        <w:t>IT: ZH_HANDELSGERICHT HG220189 del 17 febbraio 2023</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das Gericht an der Richtigkeit der klägerischen Tatsachenbehauptungen keine erheblichen Zweifel hat (Art. 153 Abs. 2 ZPO). Unter den gegebenen Um- ständen ist, wenn es die klägerische Sachdarstellung erlaubt, nach dem Klagebe- gehren zu erkennen, andernfalls ist die Klage abzuweisen. Dabei hat das Gericht auch rechtshemmende, rechtshindernde und rechtsaufhebende Tatsachen zu be- rücksichtigen, soweit sie in der Klage selbst angeführt sind. Andere Tatsachen, die aus den Akten ersichtlich sind, dürfen nur insoweit berücksichtigt werden, als sie für das Vorhandensein der von Amtes wegen zu prüfenden Prozessvoraus-</w:t>
      </w:r>
    </w:p>
    <w:p>
      <w:r>
        <w:t>- 4 - setzungen von Bedeutung sind (Art. 60 ZPO). An der erforderlichen Spruchreife fehlt es, wenn das Klagebegehren oder die Begründung der Klage (noch) unklar, unbestimmt oder offensichtlich unvollständig ist (Art. 56 ZPO) oder dem Gericht die Klagebegründung in erheblichem Mass als unglaubhaft erscheint und es dar- über Beweis erheben will (BGE 144 III 394 E. 4.3.2.2; Art. 153 Abs. 2 ZPO; WILLISEGGER, in: Spühler/Tenchio/Infanger [Hrsg.], Basler Kommentar ZPO, 3. Aufl., 2017, Art. 223 N 17 ff.; PAHUD, in: Brunner/Gasser/Schwander [Hrsg.], DIK- E-Komm. ZPO, 2. Aufl., 2016, Art. 223 N 3 ff.). Da die Beklagte innert (Nach-)Frist keine Klageantwort eingereicht hat, ist androhungsgemäss zu verfahren. Entspre- chend haben die klägerischen Behauptungen grundsätzlich als unbestritten zu gelten.</w:t>
      </w:r>
    </w:p>
    <w:p>
      <w:r>
        <w:rPr>
          <w:b/>
        </w:rPr>
        <w:t>E. 1.2</w:t>
      </w:r>
    </w:p>
    <w:p>
      <w:r>
        <w:t>Prozessvoraussetzungen Die örtliche Zuständigkeit des hiesigen Handelsgerichts stützt sich auf Art. 10 Abs. 1 lit. b ZPO und ist gegeben, da die Beklagte ihren Sitz im Kanton Zürich (C._____) hat. Die sachliche Zuständigkeit ergibt sich aus Art. 5 Abs. 1 lit. a ZPO i.V.m. Art. 6 Abs. 4 lit. a ZPO und § 44 lit. a GOG und ist ebenfalls gegeben. Die übrigen Prozessvoraussetzungen geben zu keinen Bemerkungen Anlass. Damit ist auf die Klage einzutreten. Wie sogleich zu zeigen ist, erweist sich die Sache als spruchreif.</w:t>
      </w:r>
    </w:p>
    <w:p>
      <w:r>
        <w:rPr>
          <w:b/>
        </w:rPr>
        <w:t>E. 2</w:t>
      </w:r>
    </w:p>
    <w:p>
      <w:r>
        <w:t>Materielles</w:t>
      </w:r>
    </w:p>
    <w:p>
      <w:r>
        <w:rPr>
          <w:b/>
        </w:rPr>
        <w:t>E. 2.1</w:t>
      </w:r>
    </w:p>
    <w:p>
      <w:r>
        <w:t>Unbestrittener Sachverhalt Gemäss den seitens der Beklagten unbestritten gebliebenen klägerischen Dar- stellungen ist von folgendem Sachverhalt auszugehen: Aufgrund des fehlenden Eingangs eines Erhebungsformulars hat die Klägerin die Beklagte gestützt auf Ziff. 6 ff. und insbesondere Ziff. 8.3 GT 8 VII 2017-2021 bzw. GT 9 VII 2017-2021 einmalig eingeschätzt (act. 1 Rz. 8). Die Beklagte hat die Einschätzung weder be- anstandet noch eine formgerechte Erklärung «kein Kopierer» bzw. «kein Netz- werk» eingereicht (act. 1 Rz. 8). Die in Rechnung gestellten Forderungen für das Jahr 2021 und 2022 hat die Beklagte trotz mehrmaliger Aufforderung nicht begli-</w:t>
      </w:r>
    </w:p>
    <w:p>
      <w:r>
        <w:t>- 5 - chen. Auch nach weiteren Mahnungen, letztmals mit Schreiben vom 10. August 2022, sowie telefonischer Kontaktaufnahme, hat die Beklagte die geltend ge- machten Forderungen nicht bezahlt (act. 1 Rz. 9; act. 3/4; act. 3/6). Zusammengefasst macht die Klägerin gestützt auf GT 8 VII 2017-2021 sowie GT 9 VII 2017-2021 Forderungen aus folgenden Rechnungen über CHF 128.65, CHF 124.05, CHF 26.15, CHF 21.55 (=insgesamt CHF 300.40), zuzüglich Zins ab 22. August 2022, geltend (act. 1 S. 5; act. 3/4-6): (1) Rechnung vom 14. Dezember 2021 (Nr. 19373349) (2) Rechnung vom 14. Dezember 2021 (Nr. 21184900) (3) Rechnung vom 4. Februar 2022 (Nr. 19398422) (4) Rechnung vom 4. Februar 2022 (Nr. 21208032)</w:t>
      </w:r>
    </w:p>
    <w:p>
      <w:r>
        <w:rPr>
          <w:b/>
        </w:rPr>
        <w:t>E. 2.2</w:t>
      </w:r>
    </w:p>
    <w:p>
      <w:r>
        <w:t>Aktiv- und Passivlegitimation Für die Verwendung von veröffentlichten Werken zum Eigengebrauch in Betrie- ben ist eine Vergütung geschuldet (Art. 19 Abs. 1 lit. c bzw. Art. 20 Abs. 2 URG). Den Vergütungsanspruch nach Art. 20 Abs. 2 URG können nur zugelassene Ver- wertungsgesellschaften geltend machen (Art. 20 Abs. 4 URG). Gestützt auf die Bewilligungen des Instituts für Geistiges Eigentum vom 4. Juni 2013 bzw. 27. September 2017 (act. 3/2) (verlängert mit Verfügung vom 15. September 2022 [gerichtsnotorisch]) verfügt die Klägerin über eine solche Zulassung (vgl. Art. 41 ff. URG). Die Vergütungsansprüche werden aufgrund von Tarifen geltend gemacht, welche nach rechtskräftiger Genehmigung für die Gerichte verbindlich sind (Art. 44 ff. URG; Art. 59 Abs. 3 URG; BGE 125 III 141 E. 4a; Urteil BGer 4A_203/2015 E. 3.3). Für die hier massgebenden Tarife GT 8 VII 2017-2021 so- wie GT 9 VII 2017-2021 gilt die Klägerin als Vertreterin und gemeinsame Zahlstel- le (act. 3/2; Ziff. 4 GT 8 VII 2017-2021 und Ziff. 3 GT 9 VII 2017-2021 [act. 3/5]). Die Klägerin ist deshalb zur Geltendmachung der im Streit stehenden Vergütun- gen aktivlegitimiert.</w:t>
      </w:r>
    </w:p>
    <w:p>
      <w:r>
        <w:t>- 6 - Es ist nachvollziehbar und unbestritten, dass die Beklagte mit ihrem Gesell- schaftszweck (Ausführung von Bodenbelegarbeiten) unter den Branchenbegriff «Baugewerbe» (siehe Branchenbezeichnung in den entsprechenden Rechnungen [act. 3/4]) im Sinne von Ziff. 6.3.9 GT 8 VII bzw. GT 9 VII fällt. Daher ist sie als grundsätzlich vergütungspflichtige Nutzerin passivlegitimiert.</w:t>
      </w:r>
    </w:p>
    <w:p>
      <w:r>
        <w:rPr>
          <w:b/>
        </w:rPr>
        <w:t>E. 2.3</w:t>
      </w:r>
    </w:p>
    <w:p>
      <w:r>
        <w:t>Vergütungsansprüche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Art. 46 Abs. 1 URG bestimmt so- dann, dass die Verwertungsgesellschaften – wie die Klägerin eine ist – für die von ihnen geforderten Vergütungen Tarife aufstellen. Gemäss Art. 51 URG besteht grundsätzlich eine Auskunftspflicht der Nutzer und Nutzerinnen gegenüber den Verwertungsgesellschaften. Zur Erlangung der massgeblichen Angaben für die Rechnungsstellung erhalten Nutzer und Nutzerinnen ein Erhebungsformular, mit welchem sie innert 30 Tagen die notwendigen Angaben zu melden haben. Falls die erbetenen Angaben auch nach einer schriftlichen Mahnung nicht innert Nach- frist eingereicht werden, kann die Verwertungsgesellschaft die Angaben schätzen und gestützt darauf Rechnung stellen. Diese Schätzung gilt als anerkannt, wenn die betroffenen Nutzer die für die Berechnung notwendigen Angaben nicht inner- halb von 30 Tagen nach Zustellung der Schätzung schriftlich bekannt geben (vgl. Ziff. 8.3 ff. GT 8 VII 2017-2021 bzw. GT 9 VII 2017-2021; zum Ganzen Urteil BGer 4A_382/2019 E. 3). Bei der Festlegung der Vergütungsansprüche wird eine Pau- schalierung vorgenommen; ausdrücklich nicht berücksichtigt wird demgegenüber die individuelle Nutzung im Einzelfall (BGE 125 III 141 E. 4b). Nach den schlüssigen und unbestrittenen klägerischen Darstellungen hat die Klä- gerin die Beklagte – nachdem diese bei der Erhebung der notwendigen Angaben nicht mitgewirkt hatte – zutreffend eingeschätzt und dementsprechende Rech-</w:t>
      </w:r>
    </w:p>
    <w:p>
      <w:r>
        <w:t>- 7 - nungen gestellt, welche bis anhin nicht beglichen wurden. Die Beklagte ist daher zu verpflichten, der Klägerin den für die Jahre 2021 und 2022 ausstehenden Ge- samtbetrag von CHF 300.40 zu bezahlen.</w:t>
      </w:r>
    </w:p>
    <w:p>
      <w:r>
        <w:rPr>
          <w:b/>
        </w:rPr>
        <w:t>E. 2.4</w:t>
      </w:r>
    </w:p>
    <w:p>
      <w:r>
        <w:t>Zins Zudem fordert die Klägerin für die eingeklagten Forderungen einen Zins von 5 % seit dem 22. August 2022 (act. 1 S. 2). Die Beklagte wurde mit Schreiben vom 10. August 2022 zur Zahlung von CHF 300.40 bis 20. August 2022 aufgefordert (act. 3/6), womit sie sich am 22. August 2022 in Verzug befand. Die Beklagte ist daher weiter zu verpflichten, der Klägerin einen Zins von 5 % seit 22. August 2022 zu bezahlen.</w:t>
      </w:r>
    </w:p>
    <w:p>
      <w:r>
        <w:rPr>
          <w:b/>
        </w:rPr>
        <w:t>E. 2.5</w:t>
      </w:r>
    </w:p>
    <w:p>
      <w:r>
        <w:t>Fazit Die Klägerin ist berechtigt, von der Beklagten gestützt auf Art. 19 f. URG eine Vergütung zu verlangen, und die Beklagte – die ihrer Auskunftspflicht nicht nach- gekommen ist – einzuschätzen. Folglich ist die Beklagte in Gutheissung des klä- gerischen Rechtsbegehrens zu verpflichten, der Klägerin CHF 300.40 nebst Zins zu 5 % seit 22. August 2022 zu bezahlen.</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300.40. In Anwendung von § 4 Abs. 1 und Abs. 2 GebV OG sowie angesichts des im Verhältnis zum Streit- wert hohen Zeitaufwandes ist die Mindestgebühr auf CHF 400.– zu erhöhen. Die Gerichtskosten sind ausgangsgemäss der Beklagten aufzuerlegen (Art. 106 Abs. 1 ZPO) und vorab aus dem von der Klägerin geleisteten Kostenvorschuss zu decken.</w:t>
      </w:r>
    </w:p>
    <w:p>
      <w:r>
        <w:t>- 8 -</w:t>
      </w:r>
    </w:p>
    <w:p>
      <w:r>
        <w:rPr>
          <w:b/>
        </w:rPr>
        <w:t>E. 3.2</w:t>
      </w:r>
    </w:p>
    <w:p>
      <w:r>
        <w:t>Parteientschädigung Ausgangsgemäss ist der Klägerin zudem eine Parteientschädigung zuzuspre- chen. Deren Höhe richtet sich nach der Anwaltsgebührenverordnung (AnwGebV; Art. 105 Abs. 2 und Art. 96 ZPO). Die Grundgebühr ist mit der Begründung oder Beantwortung der Klage verdient (§ 11 Abs. 1 AnwGebV). Nach § 4 Abs. 1 Anw- GebV beträgt die einfache Grundgebühr vorliegend CHF 100.– (Minimalgebühr). Diese kann bei besonders hohem Zeitaufwand um bis zu einen Drittel erhöht wer- den (§ 4 Abs. 2 AnwGebV). Die Klägerin verfasste eine Klageschrift (abzüglich Parteibezeichnungen, Rechtsbegehren und Verzeichnis) von rund fünf Seiten (act. 1) und reichte (neben der Vollmacht) fünf Beilagen ein. Aufgrund dieser aus- gewiesenen Arbeiten besteht selbst bei der maximalen Gebühr nach § 4 Abs. 1 und Abs. 2 AnwGebV (CHF 133.–) ein offensichtliches Missverhältnis zum Zeit- aufwand der Klägerin. Die Gebühr ist damit in Anwendung von § 2 Abs. 2 Anw- GebV auf CHF 650.– angemessen zu erhöhen. Mangels Darlegung der fehlenden Berechtigung zum Vorsteuerabzug ist die Parteientschädigung praxisgemäss oh- ne Mehrwertsteuerzuschlag zuzusprechen (vgl. Urteil BGer 4A_552/2015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