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HG210209 vom 14. Februar 2022</w:t>
      </w:r>
    </w:p>
    <w:p>
      <w:r>
        <w:t>Zh Handelsgericht, 2022-02-14, DE</w:t>
      </w:r>
    </w:p>
    <w:p>
      <w:r>
        <w:rPr>
          <w:b/>
        </w:rPr>
        <w:t xml:space="preserve">Quelle: </w:t>
      </w:r>
      <w:r>
        <w:t>https://mcp.opencaselaw.ch/entscheid/zh_handelsgericht_HG210209</w:t>
      </w:r>
    </w:p>
    <w:p>
      <w:r>
        <w:t>FR: ZH_HANDELSGERICHT HG210209 du 14 février 2022</w:t>
      </w:r>
    </w:p>
    <w:p>
      <w:r>
        <w:t>IT: ZH_HANDELSGERICHT HG210209 del 14 febbraio 2022</w:t>
      </w:r>
    </w:p>
    <w:p>
      <w:pPr>
        <w:pStyle w:val="Heading2"/>
      </w:pPr>
      <w:r>
        <w:t>Erwägungen</w:t>
      </w:r>
    </w:p>
    <w:p>
      <w:r>
        <w:rPr>
          <w:b/>
        </w:rPr>
        <w:t>E. 1</w:t>
      </w:r>
    </w:p>
    <w:p>
      <w:r>
        <w:t>Internationale Zuständigkeit Es liegt ein internationaler Sachverhalt vor, da beide Parteien ihren Sitz in unter- schiedlichen Staaten haben (BGE 143 III 558 E. 3.3 S. 560-561; BGE 143 III 404 E. 5.1 S. 407 = Pra 107 [2018] Nr. 86; BGE 135 III 185 E. 3.1 S. 188; BGE 134 III 475 E. 4 S. 477; BGE 131 III 76 E. 2.3 S. 79-80). Die internationale Zuständigkeit kann sich sowohl auf Art. 2 LugÜ als auch auf Art. 23 LugÜ stützen. Sie ist des- halb unabhängig von der Wirksamkeit der von der Beklagten angerufenen Ge- richtsstandsvereinbarung gegeben und zu Recht unbestritten geblieben.</w:t>
      </w:r>
    </w:p>
    <w:p>
      <w:r>
        <w:rPr>
          <w:b/>
        </w:rPr>
        <w:t>E. 2</w:t>
      </w:r>
    </w:p>
    <w:p>
      <w:r>
        <w:t>Örtliche Zuständigkeit</w:t>
      </w:r>
    </w:p>
    <w:p>
      <w:r>
        <w:rPr>
          <w:b/>
        </w:rPr>
        <w:t>E. 2.1</w:t>
      </w:r>
    </w:p>
    <w:p>
      <w:r>
        <w:t>Die Klägerin stützt die örtliche Zuständigkeit auf den Gerichtsstand des Er- füllungsortes (Art. 31 ZPO; recte: Art. 131 IPRG), soweit die Bauvorhaben an den innerkantonalen Standorten G._____ ZH, J._____ ZH, L._____ ZH und M._____ ZH betroffen sind (act. 1 Rz. 3), und auf den Gerichtsstand der objektiven Kla- genhäufung (Art. 15 Abs. 2 ZPO; recte: Art. 8a Abs. 2 IPRG) für die Bauvorhaben an den ausserkantonalen Standorten F._____ AG und K._____ SH (act. 1 Rz. 4). Die Beklagte lehnt die örtliche Zuständigkeit unter Hinweis auf die Gerichts- standsklausel in Ziffer 23 ihrer Allgemeinen Geschäftsbedingungen gestützt auf Art. 17 ZPO (recte: Art. 23 LugÜ) ab (act. 12 Rz. III.2, III.6).</w:t>
      </w:r>
    </w:p>
    <w:p>
      <w:r>
        <w:rPr>
          <w:b/>
        </w:rPr>
        <w:t>E. 2.2</w:t>
      </w:r>
    </w:p>
    <w:p>
      <w:r>
        <w:t>Gemäss Art. 23 Abs. 1 Satz 3 lit. a LugÜ können die Parteien eine Ge- richtsstandsvereinbarung schriftlich oder mündlich mit schriftlicher Bestätigung schliessen.</w:t>
      </w:r>
    </w:p>
    <w:p>
      <w:r>
        <w:t>- 7 - Der Begriff der Vereinbarung i.S.v. Art. 23 Abs. 1 Satz 1 LugÜ ist konventionsau- tonom auszulegen (BGE 131 III 398 E. 5 S. 400 = Pra 95 [2006] Nr. 9; BERNHARD BERGER, in: Lugano-Übereinkommen, Basler Kommentar, hrsg. von Christian Oe- tiker/Thomas Weibel, 2. Aufl. 2016, N. 8, 27 zu Art. 23 LugÜ). Das Gericht muss in erster Linie prüfen, "ob die seine Zuständigkeit begründende Klausel tatsäch- lich Gegenstand einer Willenseinigung zwischen den Parteien war, die klar und deutlich zum Ausdruck gekommen ist" (EuGH, Urt. v. 21.05.2015 – C-322/14, ECLI:EU:C:2015:334, Rz. 29; Urt. v. 07.02.2013 – C-543/10, ECLI:EU:C:2013:62, Rz. 27; Urt. v. 20.02.1997 – C-106/95, Slg. 1997, I-911, Rz. 15). Die Formerfor- dernisse von Art. 23 Abs. 1 LugÜ sollen deshalb sicherstellen, dass "eine Wil- lenseinigung der Parteien tatsächlich vorliegt" (EuGH, Urt. v. 21.05.2015 – C- 322/14, ECLI:EU:C:2015:334, Rz. 30; Urt. v. 07.02.2013 – C-543/10, E- CLI:EU:C:2013:62, Rz. 28 m.Nw.). Sie sind konventionsautonom ohne Rückgriff auf allfällige strengere Formvorschriften des nationalen Rechts anzuwenden (BGE 139 III 345 E. 4 S. 347; BGE 131 III 398 E. 5 S. 400 = Pra 95 [2006] Nr. 9; BERGER, in: Basler Kommentar, N. 23, 41 zu Art. 23 LugÜ; LAURENT KILLIAS, in: Lugano-Übereinkommen, hrsg. von Felix Dasser/Paul Oberhammer, 3. Aufl. 2021, N. 92 zu Art. 23 LugÜ). Im Rahmen von Art. 23 Abs. 1 Satz 3 lit. a LugÜ genügt es, wenn der Vertrag auf die Allgemeinen Geschäftsbedingungen einer Partei hinweist, in welcher die Gerichtsstandsvereinbarung enthalten ist (BGE 139 III 345 E. 4.1 S. 347; vgl. EuGH, Urt. v. 21.05.2015 – C-322/14, E- CLI:EU:C:2015:334, Rz. 31; BERGER, in: Basler Kommentar, N. 42 zu Art. 23 LugÜ; KILLIAS, in Lugano-Übereinkommen, N. 96a zu Art. 23 LugÜ). Eine tatsäch- liche Kenntnisnahme der Gerichtsstandsklausel ist nicht erforderlich (BGE 139 III 345 E. 4.4 S. 349; KILLIAS, in Lugano-Übereinkommen, N. 96d zu Art. 23 LugÜ).</w:t>
      </w:r>
    </w:p>
    <w:p>
      <w:r>
        <w:rPr>
          <w:b/>
        </w:rPr>
        <w:t>E. 2.2.1</w:t>
      </w:r>
    </w:p>
    <w:p>
      <w:r>
        <w:t>Die Beklagte legt eingehend den Vertragsabschluss für das Bauprojekt am Standort H._____ (I._____) ZH dar (act. 12 Rz. II.2; act. 14/1), auch wenn daraus lediglich noch Mehrwertsteuerberechnungen von EUR 6'099.27 (EUR 97.62 und EUR 6'001.65) aus der Rechnung Nr. 0001 vom 11. Juli 2019 als Streitgegen- stand verbleiben (act. 1 Rz. 35; act. 3/7). Die Darstellungen der Parteien stimmen insoweit überein, als dass den Arbeiten das Angebot der Klägerin bzw. des Ein- zelunternehmers vom 18. Juli 2018 über EUR 58'865.60 zugrunde liegt (act. 1</w:t>
      </w:r>
    </w:p>
    <w:p>
      <w:r>
        <w:t>- 8 - Rz. 12; act. 12 Rz. II.2; act. 3/4; act. 14/1). Gemäss übereinstimmender Darstel- lung unterzeichnete der Einzelunternehmer am 22. August 2018 je den Werkver- trag Nr. 2812 vom 20. August 2018 und die Allgemeinen Geschäftsbedingungen, welche in Ziffer 23 folgende Gerichtsstandsklausel enthalten: "Für alle Streitigkei- ten aus dem Vertragsverhältnis vereinbaren die Parteien U._____ TG als Ge- richtsstand." (act. 12 Rz. III.2; act. 19 Rz. 4; act. 14/1). Die Klägerin anerkennt, ein gegengezeichnetes Vertragsexemplar im Original zurückgesandt erhalten zu haben (act. 19 Rz. 4, 10, 12). Die Klägerin wendet ein, der Werkvertrag vom 20. August 2018 sei bauherrensei- tig nicht durch die Beklagte, sondern durch die "D2._____ AG" (seit 8. Juni 2021: "E._____ AG") als Bauherrin unterzeichnet (act. 1 Rz. 4; act. 14/1). Die Partei- konstellation in der Unterschriftenzeile des Werkvertrags vom 20. August 2018 (act. 14/1) deckt sich im Wesentlichen mit der von der Bauleitung ausgestellten, allerdings nicht unterzeichneten Auftragsbestätigung vom 18. September 2018 (act. 3/4), auf welche sich die Klägerin im Zusammenhang mit der Vereinbarung einheitlicher Konditionen und Einheitspreise stützt (act. 1 Rz. 13-16): Als Unter- nehmerin erscheint das Einzelunternehmen "A._____", während die "D1._____ AG" als Bau- bzw. Projektleitung und die "D2._____ AG" unter dem Titel Bauher- rin zeichnen sollen. Beide Urkunden tragen zudem den Briefkopf der "D1._____ AG" (act. 1 Rz. 13; act. 3/4; act. 14/1). Im Kopf der ersten Seite führt der Werkver- trag vom 20. August 2018 als Bauherrin allerdings im Gegensatz zur Auftragsbe- stätigung vom 18. September 2018 nicht wie in der Unterschriftenzeile die "D2._____ AG", sondern die Beklagte auf (act. 19 Rz. 4; act. 14/1). Gemäss Art. 23 Abs. 1 LugÜ muss sich die Gerichtsstandsvereinbarung auf eine bereits entstandene Rechtsstreitigkeit oder auf eine künftige aus einem bestimm- ten Rechtsverhältnis entspringende Rechtsstreitigkeit beziehen. Die Klägerin äus- sert sich zum Vertragsschluss über das Angebot vom 18. Juli 2018 für den Standort H._____ (I._____) ZH lediglich im Zusammenhang mit dem Rahmenver- trag über einheitliche Konditionen und Einheitspreise für die Bauvorhaben an den genannten weiteren Standorten (act. 1 Rz. 13, 14). Den Ausführungen der Be- klagten stellt die Klägerin keine eigene Darlegung des Vertragsschlusses gegen-</w:t>
      </w:r>
    </w:p>
    <w:p>
      <w:r>
        <w:t>- 9 - über. Im erwähnten Zusammenhang mit dem Rahmenvertrag betont die Klägerin vielmehr, dass es nicht um den Abschluss eines konkreten Werkvertrags gegan- gen sei (act. 1 Rz. 15). Gleichzeitig betrifft ein Teil der durch die Klägerin geltend gemachten streitgegenständlichen Forderung aus Mehrwertsteuerberechnungen die Arbeiten am Standort H._____ (I._____) ZH. Damit geht auch die Klägerin da- von aus, dass letztlich die Beklagte Vertragspartnerin war. Mangels schlüssiger Darlegung eines abweichenden Vertragsschlusses ist auf die Darstellung der Be- klagten abzustellen. Die Klägerin anerkennt die Bauleitung durch N._____ oder O._____ von der "D1._____ AG" (act. 1 Rz. 12, 13, 21, 25, 32, 37; act. 19 Rz. 7, 8). Die Bauleitung konnte auch die Beklagte verpflichten. Die Unterschrift der Be- klagten auf dem Werkvertrag vom 20. August 2018 ist für die Wirksamkeit der Ge- richtsstandsvereinbarung nicht zwingend erforderlich (Ziffer 2.2.2 unten). Das Rechtsverhältnis ist jedenfalls eindeutig bestimmt. Die Beklagte kann sich auf die Gerichtsstandsvereinbarung berufen. Weiter wendet die Klägerin ein, Ziffer 1 Abs. 3 der Allgemeinen Geschäftsbedin- gungen würde die Unterschrift einer im Handelsregister eingetragenen Person verlangen, der für die "D2._____ AG" zeichnende Verwaltungsrat sei im Zeitpunkt der Unterzeichnung jedoch lediglich kollektivzeichnungsberechtigt gewesen (act. 19 Rz. 6, 14; act. 3/1; act. 14/1; act. 14/4). Gemäss dem Grundsatz der Au- tonomie der Gerichtsstandsvereinbarung beurteilt sich deren Wirksamkeit unab- hängig von jener des Hauptvertrags (BERGER, in: Basler Kommentar, N. 54, 55 zu Art. 23 LugÜ; KILLIAS, in Lugano-Übereinkommen, N. 141 zu Art. 23 LugÜ). Die allfällige Unwirksamkeit des Hauptvertrags beeinträchtigt die Gerichtsstandsver- einbarung deshalb nicht. Ziffer 1 Abs. 3 Satz 2 der Allgemeinen Geschäftsbedin- gungen lautet ausserdem vollständig: "Zeichnungsberechtigt sind die im Handels- register eingetragenen oder dazu speziell bevollmächtigten Personen." (act. 14/1). Soweit die Parteien die Zeichnungsberechtigung überhaupt zu einer Wirksamkeitsvoraussetzung haben machen wollen, schliesst die vereinbarte Form jedenfalls nicht aus, dass auch nicht im Handelsregister eingetragene Personen zeichnen können, wenn sie über eine entsprechende Vollmacht verfügen. Nach Darstellung der Klägerin führte der Einzelunternehmer auch die Arbeiten am Standort H._____ (I._____) ZH aus (act. 1 Rz. 17), ohne die Unterschrift einer</w:t>
      </w:r>
    </w:p>
    <w:p>
      <w:r>
        <w:t>- 10 - weiteren kollektivzeichnungsberechtigten Person der Beklagten zu verlangen. Damit hat er konkludent auf die Einhaltung der vereinbarten qualifizierten Schrift- form verzichtet. Die Mitwirkung der "D2._____ AG" steht einem mit der Beklagten vereinbarten Gerichtsstand nicht entgegen. Aufgrund der Autonomie der Gerichtsstandsverein- barung kann offen bleiben, welche Funktion der "D2._____ AG" im Rahmen des Hauptvertrags zukommt. Immerhin hat die Klägerin die "D2._____ AG" als Ver- handlungspartnerin für den Rahmenvertrag über einheitliche Konditionen und Einheitspreise anerkannt (act. 1 Rz. 4, 13, 16). Unter dem Gesichtspunkt von Treu und Glauben muss sich die Klägerin auf der Zustimmung zur Gerichts- standsklausel behaften lassen (PASCAL GROLIMUND, in: Lugano-Übereinkommen [LugÜ] zum internationalen Zivilverfahrensrecht, Kommentar, hrsg. von Anton K. Schnyder, 2011, N.17 zu Art. 23 LugÜ). Der Zessionar ist an einen durch den Zedenten vereinbarten Gerichtsstand ge- bunden, soweit er nach dem nationalen anwendbaren Recht in dessen Rechte und Pflichten eingetreten ist (EuGH, Urt. v. 09.11.2000 – C-387/98, Slg. 2000, I- 9362, Rz. 23, 24; Urt. v. 19.06.1984 – 71/83, Slg. 1984, 2417, Rz. 24, 25; BER- GER, in: Basler Kommentar, N. 68 zu Art. 23 LugÜ; KILLIAS, in Lugano- Übereinkommen,, N. 179 zu Art. 23 LugÜ). Zwischen den Parteien ist unbestrit- ten, dass die Klägerin per 1. November 2019 sämtliche Aktiven und Passiven des Einzelunternehmens "A._____" übernommen hat (act. 1 Rz. 10, 19). Gemäss § 2 des Einbringungsvertrags vom 3. April 2020 erfolgte die Einbringung im Wege der Einzelrechtsnachfolge (act. 1 Rz. 10; act. 3/3 Anlage 2). Zur Begründung ihrer Ak- tivlegitimation stützt sich die Klägerin ausdrücklich auf den Forderungsübergang (act. 1 Rz. 19, 23, 26, 27, 31, 33). Die Wirkungen der Vermögenseinbringung rich- ten sich nach dem in der Sache anwendbaren deutschen Recht (Art. 145 Abs. 1 Satz 1 i.V.m. Art. 117 Abs. 1, 2 und 3 lit. c IPRG). Nach diesem geht eine Ge- richtsstandsvereinbarung auf den Zessionar über (BGH, Urt. v. 20.03.1980 – III ZR 151/79, NJW 1980, 2022, 2023 unter I 1, nicht publ. in: BGHZ 77, 32; OLG Köln, Urt. v. 21.11.1991 – 18 U 113/91, abrufbar unter &lt;www.nrwe.de&gt;). Die Klä-</w:t>
      </w:r>
    </w:p>
    <w:p>
      <w:r>
        <w:t>- 11 - gerin hat dies zu Recht nicht bestritten. Sie ist an die durch den Rechtsvorgänger abgeschlossene Gerichtsstandsvereinbarung gebunden. Soweit sich aus der neueren Rechtsprechung des Europäischen Gerichtshofs strengere Anforderungen an die Bindung des Zessionars an die Gerichtsstands- vereinbarung ergeben sollten, wären diese vorliegend ebenfalls erfüllt. Danach muss sich der Dritte, welcher der Gerichtsstandsvereinbarung (ursprünglich) nicht zugestimmt hat, diese nur entgegenhalten lassen, wenn er ausdrücklich "in alle Rechte und Pflichten der ursprünglichen Vertragspartei eingetreten" ist (EuGH, Urt. v. 18.11.2020 – C-519/19, ECLI:EU:C:2020:933, Rz. 47; Urt. v. 21.05.2015 – C-352/13, ECLI:EU:C:2015:335, Rz. 65). Ob diese Voraussetzung erfüllt ist, ha- ben jeweils die nationalen Gerichte zu prüfen (EuGH, Urt. v. 18.11.2020 – C- 519/19, ECLI:EU:C:2020:933, Rz. 63). Aus der Darstellung der Klägerin zu allfäl- ligen Mängelrechten der Beklagten (act. 1 Rz. 40-46) ergibt sich schlüssig, dass sich die Klägerin auch die Pflichten ihres Rechtsvorgängers entgegenhalten lässt. Die mit einer Verbrauchereigenschaft i.S.v. Art. 15 Abs. 1 LugÜ verbundenen Fragen stellen sich vorliegend (anders als in EuGH, Urt. v. 18.11.2020 – C- 519/19, ECLI:EU:C:2020:933) nicht, da weder der Einzelunternehmer noch die Klägerin unter den Verbraucherbegriff fallen. Ausserdem wäre bei der Auslegung zu berücksichtigen, dass gemeinschaftsrechtliche Grundsätze ausserhalb von LugÜ und EuGVVO für die Schweiz nicht umfassend gelten (BGE 140 III 320 E. 6.1 S. 322 m.Nw.; BGer 4A_446/2018, 4A_448/2018 v. 21.05.2019 E. 2, nicht publ. in: BGE 145 III 303). Im Ergebnis gilt zwischen den Parteien für Streitigkeiten über Ansprüche aus dem Bauprojekt am Standort H._____ (I._____) ZH eine örtliche Zuständigkeitsverein- barung nach Art. 23 Abs. 1 LugÜ zu Gunsten von U._____ TG.</w:t>
      </w:r>
    </w:p>
    <w:p>
      <w:r>
        <w:rPr>
          <w:b/>
        </w:rPr>
        <w:t>E. 2.2.2</w:t>
      </w:r>
    </w:p>
    <w:p>
      <w:r>
        <w:t>Den Werkvertrag Nr. 2820 vom 19. März 2019 über die Arbeiten für das Bauvorhaben am Standort F._____ AG bereitete die Bauleitung vor und sandte ihn auf dem Postweg an den Einzelunternehmer (act. 19 Rz. 7; act. 14/2). Dieser unterzeichnete am 29. März 2019 den Werkvertrag und die Allgemeinen Ge- schäftsbedingungen, welche in Ziffer 23 folgende Gerichtsstandsklausel enthal- ten: "Für alle Streitigkeiten aus dem Vertragsverhältnis vereinbaren die Parteien</w:t>
      </w:r>
    </w:p>
    <w:p>
      <w:r>
        <w:t>- 12 - U._____ TG als Gerichtsstand." (act. 12 Rz. III.3; act. 19 Rz. 7; act. 14/2). Die unterzeichneten Vertragsdokumente sandte er an die Bauleitung zurück (act. 19 Rz. 7). Die Gegenzeichnung erfolgte am 3. April 2019 für die Bauleitung und am</w:t>
      </w:r>
    </w:p>
    <w:p>
      <w:r>
        <w:rPr>
          <w:b/>
        </w:rPr>
        <w:t>E. 2.2.3</w:t>
      </w:r>
    </w:p>
    <w:p>
      <w:r>
        <w:t>Den Werkvertrag Nr. 2810 vom 21. März 2019 über die Arbeiten für das Bauvorhaben am Standort L._____ ZH bereitete die Bauleitung vor und sandte ihn auf dem Postweg an den Einzelunternehmer (act. 19 Rz. 7, 8; act. 14/3). Die- ser unterzeichnete am 10. April 2019 den Werkvertrag und die Allgemeinen Ge- schäftsbedingungen, welche in Ziffer 23 folgende Gerichtsstandsklausel enthal- ten: "Für alle Streitigkeiten aus dem Vertragsverhältnis vereinbaren die Parteien U._____ TG als Gerichtsstand." (act. 12 Rz. III.3; act. 19 Rz. 8; act. 14/3). Die unterzeichneten Vertragsdokumente sandte er an die Bauleitung zurück (act. 19 Rz. 7, 8). Die Gegenzeichnung erfolgte am 23. April 2019 für die Bauleitung und am 26. April 2019 durch den Verwaltungsratspräsidenten der Beklagten (act. 19 Rz. 8, 9; act. 14/2). Die Klägerin macht geltend, die Beklagte habe die Allgemei- nen Geschäftsbedingungen nicht gegengezeichnet und ihr kein Werkvertrags- exemplar zurückgesandt (act. 19 Rz. 8, 13). Die Sachverhaltskonstellation deckt sich im Wesentlichen mit jener betreffend den Werkvertrag Nr. 2820 vom 19. März 2019. Mit der Übersendung des vorbereiteten Werkvertrags einschliesslich der Allge- meinen Geschäftsbedingungen mit der Gerichtsstandsklausel durch die Baulei- tung einerseits und die Rücksendung der unterzeichneten Vertragsexemplare an die Bauleitung andererseits ist eine Einigung über den Gerichtsstand zustande gekommen. Bei einer textlich fixierten Willenserklärung ist die Schriftform ge- wahrt, wenn die Identität der daran beteiligten Personen sowie die Authentizität und Echtheit der Erklärung feststehen (Ziffer 2.2.2 oben). Aufgrund der Übersen- dung des vorbereiteten Werkvertrags durch die Bauleitung ist sowohl die Zuord- nung der Willenserklärung als auch deren Authentizität und Echtheit gewährleis- tet. Ist die Gerichtsstandsvereinbarung bereits mit der Zusendung des unterzeich- neten Vertragsexemplars durch den Einzelunternehmer formwirksam zustande gekommen, ist nicht mehr entscheidend, ob dieser ein gegengezeichnetes Ver- tragsexemplar zugesandt erhalten hat. Zudem führte der Einzelunternehmer nach</w:t>
      </w:r>
    </w:p>
    <w:p>
      <w:r>
        <w:t>- 16 - Darstellung der Klägerin die übernommenen Arbeiten vollständig aus (act. 1 Rz. 21), ohne die Rücksendung eines gegengezeichneten Vertragsexemplars an- zumahnen, womit er konkludent auf die Rücksendung verzichtet hat. Durch Zes- sion ist die Gerichtsstandsvereinbarung auf die Klägerin übergegangen (Zif- fer 2.2.1 oben). Im Ergebnis gilt zwischen den Parteien für Streitigkeiten über Ansprüche aus dem Bauprojekt am Standort L._____ ZH eine örtliche Zuständigkeitsvereinbarung nach Art. 23 Abs. 1 LugÜ zu Gunsten von U._____ TG.</w:t>
      </w:r>
    </w:p>
    <w:p>
      <w:r>
        <w:rPr>
          <w:b/>
        </w:rPr>
        <w:t>E. 2.2.4</w:t>
      </w:r>
    </w:p>
    <w:p>
      <w:r>
        <w:t>Die (sinngemässe) Behauptung der Beklagten, die streitgegenständlichen Werkverträge über die Arbeiten an den weiteren Standorten würden dieselben Allgemeinen Geschäftsbedingungen mit der streitgegenständlichen Gerichts- standsklausel zu Gunsten von U._____ TG enthalten (vgl. act. 12 Rz. III.5, III.6), ist unbestritten geblieben. Es kann auf die vorstehenden Erwägungen verwiesen werden (Ziffer 2.2.1 oben und Ziffer 2.2.2 oben). Auch für Streitigkeiten über An- sprüche aus den weiteren streitgegenständlichen Bauprojekten gilt zwischen den Parteien eine örtliche Zuständigkeitsvereinbarung nach Art. 23 Abs. 1 LugÜ zu Gunsten von U._____ TG.</w:t>
      </w:r>
    </w:p>
    <w:p>
      <w:r>
        <w:rPr>
          <w:b/>
        </w:rPr>
        <w:t>E. 2.3</w:t>
      </w:r>
    </w:p>
    <w:p>
      <w:r>
        <w:t>Gemäss Art. 23 Abs. 1 Satz 2 LugÜ gilt die Vermutung der ausschliessli- chen Zuständigkeit des prorogierten Gerichts. Die Klägerin hat diese Vermutung nicht widerlegt. Zwischen den Parteien ist die Zuständigkeit des hiesigen Gerichts nach Art. 23 Abs. 1 LugÜ wirksam derogiert.</w:t>
      </w:r>
    </w:p>
    <w:p>
      <w:r>
        <w:rPr>
          <w:b/>
        </w:rPr>
        <w:t>E. 2.4</w:t>
      </w:r>
    </w:p>
    <w:p>
      <w:r>
        <w:t>Mangels örtlicher Zuständigkeit ist auf die Klage nicht einzutreten (Art. 59 Abs. 1 ZPO). 3. Kosten- und Entschädigungsfolgen 3.1. Gemäss Art. 91 Abs. 1 ZPO richtet sich der Streitwert nach dem Rechts- begehren unter Vernachlässigung der Zinsen. Bei Klagenhäufung werden die An- sprüche zusammengerechnet (Art. 93 Abs. 1 ZPO). Der Streitwert beträgt vorlie- gend EUR 159'943.41 (act. 1 Rz. 6). Auf eine Fremdwährung lautende Rechtsbe- gehren sind zum Umrechnungskurs am Tag der Rechtshängigkeit umzurechnen</w:t>
      </w:r>
    </w:p>
    <w:p>
      <w:r>
        <w:t>- 17 - (BGE 63 II 34 S. 35; BGer 4A_274/2011 v. 03.11.2011 E. 1 = SJ 2012 I 160). Für den Tag der Klageeinreichung vom 15. Oktober 2021 ist von einem CHF/EUR- Umrechnungskurs von 1.06997 auszugehen. Dies ergibt einen Streitwert von CHF 171'134.65. 3.2. Die Höhe der Gerichtskosten bestimmt sich nach der Gebührenverordnung des Obergerichts vom 8. September 2010 (GebV OG; Art. 96 ZPO i.V.m. § 199 Abs. 1 GOG) und richtet sich in erster Linie nach dem Streitwert bzw. nach dem tatsächlichen Streitinteresse (§ 2 Abs. 1 lit. a GebV OG). Beim vorliegenden Streitwert beträgt die nach § 4 Abs. 1 GebVOG ermittelte Grundgebühr CHF 11'595.39. Da ein prozessualer Nichteintretensentscheid ergeht, ist diese in Anwendung von § 10 Abs. 1 GebV OG auf rund die Hälfte zu reduzieren. Die Ge- richtsgebühr ist auf CHF 5'800.00 festzusetzen. Bei Nichteintreten gilt die klagen- de Partei als unterliegend (Art. 106 Abs. 1 S. 2 ZPO). Die Gerichtskosten sind der Klägerin aufzuerlegen (Art. 106 Abs. 1 S. 1 ZPO) und mit dem von ihr geleisteten Kostenvorschuss zu verrechnen (Art. 111 Abs. 1 Satz 1 ZPO). 3.3. Bei berufsmässig vertretenen Parteien bestimmt sich die Höhe der Partei- entschädigung nach der Verordnung über die Anwaltsgebühren vom</w:t>
      </w:r>
    </w:p>
    <w:p>
      <w:r>
        <w:rPr>
          <w:b/>
        </w:rPr>
        <w:t>E. 4</w:t>
      </w:r>
    </w:p>
    <w:p>
      <w:r>
        <w:t>April 2019 durch den Verwaltungsratspräsidenten der Beklagten (act. 19 Rz. 7, 9; act. 14/2). Die Klägerin macht geltend, die Beklagte habe ihr kein Werkver- tragsexemplar zurückgesandt (act. 19 Rz. 7, 13). Materielle Voraussetzung einer wirksamen Gerichtsstandsvereinbarung ist die Ei- nigung der Parteien durch Abgabe von gegenseitigen übereinstimmenden Wil- lenserklärungen (BERGER, in: Basler Kommentar, N. 28 zu Art. 23 LugÜ; KILLIAS, in Lugano-Übereinkommen, N. 139 zu Art. 23 LugÜ). Die Übersendung des vor- bereiteten Vertrags einschliesslich der Allgemeinen Geschäftsbedingungen mit der Gerichtsstandsklausel durch die Bauleitung ist als Willenserklärung der Be- klagten, vertreten durch die Bauleitung, an den Einzelunternehmer im Sinne eines Angebots auf Abschluss einer Gerichtsstandsvereinbarung zu verstehen. Durch die Unterzeichnung und Rücksendung der Vertragsexemplare an die Bauleitung erfolgte die Annahmeerklärung. Damit war die Einigung über den Gerichtsstand vollkommen. Insofern kommt es auf die fehlende Einzelzeichnungsberechtigung des Verwaltungsratspräsidenten der Beklagten nicht mehr an (act. 19 Rz. 9, 14). Die allfällige nachfolgende Ausstellung von Auftragsbestätigungen bleibt ohne Folgen. Die Klägerin behauptet nicht, damit eine anderslautende Gerichtsstands- vereinbarung abgeschlossen zu haben (act. 19 Rz. 15). Durch Zession ist die Ge- richtsstandsvereinbarung auf die Klägerin übergegangen (Ziffer 2.2.1 oben). Zur Einhaltung der formellen Voraussetzungen von Art. 23 Abs. 1 Satz 3 lit. a LugÜ ist die Unterschrift der Beklagten nicht zwingend erforderlich. Die Textform ist ausreichend, wenn der Text klar als Willenserklärung erkennbar ist (BGE 131 III 398 E. 7.1.1 S. 401 = Pra 95 [2006] Nr. 9; BERGER, in: Basler Kommentar, N. 43 zu Art. 23 LugÜ). Wohl erachtete namentlich der deutsche Bundesgerichts- hof in der Vergangenheit lediglich einseitig unterzeichnete Urkunden in mehreren, teilweise im hiesigen Schrifttum referenzierten Entscheidungen nicht als formwah- rend i.S.v. Art. 23 Abs. 1 Satz 3 lit. a LugÜ (BGH, Beschl. v. 16.01.2014 – IX ZR 194/13, Rz. 9; Urt. v. 06.07.2004 – X ZR 171/02, unter II 2 b; Urt. v. 22.02.2001 –</w:t>
      </w:r>
    </w:p>
    <w:p>
      <w:r>
        <w:t>- 13 - IX ZR 19/00, NJW 2001, 1731, unter II 3 = IPRax 2002, 124; GROLIMUND, in: Lugano-Übereinkommen [LugÜ] zum internationalen Zivilverfahrensrecht, N. 17 zu Art. 23 LugÜ; KILLIAS, in Lugano-Übereinkommen, N. 93a und FN. 165 zu Art. 23 LugÜ). Diese Rechtsprechungslinie hat er jedoch in eingehender Ausei- nandersetzung mit dem Schrifttum und der Rechtsprechung verschiedener natio- naler Gerichte, einschliesslich des schweizerischen Bundesgerichts, sowie unter Berücksichtigung von Art. 23 Abs. 2 LugÜ, welcher elektronische Übermittlungen, die eine dauerhafte Aufzeichnung der Vereinbarung ermöglichen, der Schriftform gleichstellt, inzwischen verlassen (BGH, Urt. v. 25.01.2017 – VIII ZR 257/15, Rz. 19-26, 29, 30). Danach genügt eine textlich fixierte Willenserklärung, wenn die Identität der daran beteiligten Personen sowie die Authentizität und Echtheit der Erklärung feststehen (BGH, Urt. v. 26.04.2018 – VII ZR 139/17, Rz. 28; Urt. v. 25.01.2017 – VIII ZR 257/15, Rz. 29). Davon geht auch die hiesige Kommentarli- teratur aus (BERGER, in: Basler Kommentar, N. 44 zu Art. 23 LugÜ; KILLIAS, in Lugano-Übereinkommen, N. 94 zu Art. 23 LugÜ). Selbst in den unter der bisheri- gen Praxis entschiedenen Fällen beruhte die Begründung nicht zuletzt darauf, dass das lediglich einseitig unterzeichnete Dokument mit der Gerichtsstandsklau- sel auch nur die Willenserklärung einer Partei verurkundete, weshalb es an ge- genseitigen Willenserklärungen fehlte (BGH, Beschl. v. 16.01.2014 – IX ZR 194/13, Rz. 9, 10; Urt. v. 06.07.2004 – X ZR 171/02, unter II 2 a; Urt. v. 22.02.2001 – IX ZR 19/00, NJW 2001, 1731 [1731-1732 unter II 3] = IPRax 2002, 124). Der wesentliche Zweck der Formvorschriften von Art. 23 LugÜ besteht in der Gewährleistung, dass eine Gerichtsstandsklausel nicht von einer Partei un- bemerkt Gegenstand eines Vertrags werden kann (EuGH, Urt. v. 20.04.2016 – C- 366/13, ECLI:EU:C:2016:282, Rz. 39; Urt. v. 09.12.2003 – C-116/02, Slg. 2003, I- 14721, Rz. 50; Urt. v. 16.03.1999 – C-159/97, Slg. 1999, I-1636, Rz. 19; Urt. v. 20.02.1997 – C-106/95, Slg. 1997, I-911, Rz. 17; BGE 131 III 398 E. 6 S. 400 = Pra 95 [2006] Nr. 9; BGer 4A_149/2013 v. 31.07.2013 E. 4.6; STEFAN KRÖLL, Das Formerfordernis bei Gerichtsstandsvereinbarungen nach Art. 17 LugÜ – Unwirk- samkeit trotz materieller Einigung? [zu BGH, 22. 2. 2001 – IX ZR 19/00 …], IPRax 2002, 113, S. 114). Dieser Zweck kann jedoch auch ohne die eigenhändige Un- terschrift einer Partei gewährleistet sein.</w:t>
      </w:r>
    </w:p>
    <w:p>
      <w:r>
        <w:t>- 14 - Der von der Bauleitung für die konkreten Arbeiten der Klägerin bzw. des Einzelun- ternehmers an dem streitgegenständlichen Bauprojekt verfasste Werkvertrag ver- urkundet eine auf Abschluss eines Vertrags gerichtete Willenserklärung. Aufgrund der Übersendung durch die Bauleitung ist sowohl die Zuordnung der Willenserklä- rung als auch deren Authentizität und Echtheit gewährleistet. Nicht ausreichend wäre lediglich die nur mündliche Zustimmung einer Partei (BGH, Urt. v. 26.04.2018 – VII ZR 139/17, Rz. 28). Ein solcher Formmangel liegt hier jedoch nicht vor, hat doch der Einzelunternehmer unstreitig nicht nur den Werkvertrag, sondern auch die Allgemeinen Geschäftsbedingungen mit der Gerichtsstands- klausel unterzeichnet und übersandt. Mit der Zusendung des unterzeichneten Vertragsexemplars durch den Einzelunternehmer ist die Gerichtsstandsvereinba- rung formwirksam zustande gekommen. Käme der Unterzeichnung und Rücksen- dung durch die Beklagte konstitutive Wirkung zu, wäre das Zustandekommen der Gerichtsstandsvereinbarung in deren Belieben gestellt (KRÖLL, IPRax 2002, 113, S. 114). Schliesslich anerkennt die Klägerin, dass die Bauleitung und, wenn auch durch den nicht einzelzeichnungsberechtigten Verwaltungsratspräsidenten, die Beklagte den streitgegenständlichen Werkvertrag am 3. April 2019 bzw. am 4. April 2019 unterzeichneten, und stellt lediglich dessen Rücksendung in Abrede (act. 19 Rz. 7). Da die Gerichtsstandsvereinbarung bereits mit Zusendung des durch den Einzelunterunternehmer unterzeichneten Vertragsexemplars wirksam zustande gekommen ist, braucht nicht mehr geprüft zu werden, ob die Klägerin ein gegen- gezeichnetes Vertragsexemplar zurückgesandt erhalten hat. Deshalb fällt auch nicht ins Gewicht, dass die Bauleitung die von ihr verwendeten Allgemeinen Ge- schäftsbedingungen, welche dem Werkvertrag in fortlaufender Nummerierung an- gehängt sind (act. 14/2), nicht gegengezeichnet hat (act. 19 Rz. 8). Zudem führte der Einzelunternehmer nach Darstellung der Klägerin die übernommenen Arbei- ten vollständig aus (act. 1 Rz. 25), ohne die Rücksendung eines gegengezeichne- ten Vertragsexemplars anzumahnen. Damit hat er konkludent auf die Rücksen- dung verzichtet.</w:t>
      </w:r>
    </w:p>
    <w:p>
      <w:r>
        <w:t>- 15 - Im Ergebnis gilt zwischen den Parteien für Streitigkeiten über Ansprüche aus dem Bauprojekt am Standort F._____ AG eine örtliche Zuständigkeitsvereinbarung nach Art. 23 Abs. 1 LugÜ zu Gunsten von U._____ TG.</w:t>
      </w:r>
    </w:p>
    <w:p>
      <w:r>
        <w:rPr>
          <w:b/>
        </w:rPr>
        <w:t>E. 8</w:t>
      </w:r>
    </w:p>
    <w:p>
      <w:r>
        <w:t>September 2010 (AnwGebV; Art. 95 Abs. 3 lit. b und Art. 96 ZPO i.V.m. § 48 Abs. 1 lit. c und Abs. 2 des Anwaltsgesetzes vom 17. November 2003) und richtet sich in erster Linie nach dem Streitwert (§ 2 Abs. 1 lit. a AnwGebV). Beim vorlie- genden Streitwert beträgt die nach § 4 Abs. 1 AnwGebV ermittelte Grundgebühr CHF 14'889.71. Der Anspruch auf die Grundgebühr entsteht mit der Erarbeitung eines Schriftsatzes (§ 11 Abs. 1 S. 1 AnwGebV). Die Beklagte hat lediglich eine knappe nichteinlässliche Klageantwort eingereicht. Wohl ist nicht zu verkennen, dass dennoch ein Aufwand für die Instruktion der Rechtsvertretung entstanden ist. Dieser ist jedoch nicht mit jenem für eine einlässliche Beantwortung der Klage vergleichbar. Eine volle Grundgebühr erscheint deshalb offensichtlich als unver- hältnismässig. Die Anwaltsgebühr ist in Anwendung von § 2 Abs. 2 AnwGebV auf rund die Hälfte zu reduzieren. Der von der Beklagten beantragte Mehrwertsteuer- zusatz ist dieser nicht zuzusprechen, da die fehlende Berechtigung zum Vorsteu- erabzug nicht nachgewiesen ist (Kreisschreiben der Verwaltungskommission des</w:t>
      </w:r>
    </w:p>
    <w:p>
      <w:r>
        <w:t>- 18 - Obergerichts vom 17. Mai 2006 Ziffer 2.1.1 S. 3 unten; abrufbar unter &lt;https://www.gerichte-zh.ch/kreisschreiben/kreisschreiben.html&gt;; BGer 4A_552/2015 v. 25.05.2016 E. 4.5; KassGer ZH v. 19.07.2005, ZR 104 [2005] Nr. 76, E. III.2.g S. 293-294 = SJZ 101 [2005] 531). Die Klägerin ist zu verpflich- ten, der Beklagten eine Parteientschädigung von CHF 7'500.00 zu bezahlen.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